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7B6" w:rsidRPr="0064331D" w:rsidRDefault="00CA37B6" w:rsidP="00244981">
      <w:pPr>
        <w:pStyle w:val="berschrift1"/>
        <w:spacing w:before="0" w:after="0" w:line="276" w:lineRule="auto"/>
        <w:jc w:val="left"/>
      </w:pPr>
      <w:r w:rsidRPr="0064331D">
        <w:t>Pose de béton dans le sud-ouest du Nigeria avec la machine à coffrage glissant W</w:t>
      </w:r>
      <w:r w:rsidR="00F84716">
        <w:t>irtgen</w:t>
      </w:r>
      <w:r w:rsidRPr="0064331D">
        <w:t xml:space="preserve"> SP 500</w:t>
      </w:r>
    </w:p>
    <w:p w:rsidR="00CA37B6" w:rsidRPr="0064331D" w:rsidRDefault="00CA37B6" w:rsidP="002E765F">
      <w:pPr>
        <w:pStyle w:val="Text"/>
      </w:pPr>
    </w:p>
    <w:p w:rsidR="00CA37B6" w:rsidRPr="0064331D" w:rsidRDefault="00CA37B6" w:rsidP="00244981">
      <w:pPr>
        <w:pStyle w:val="Text"/>
        <w:spacing w:line="276" w:lineRule="auto"/>
      </w:pPr>
      <w:r w:rsidRPr="0064331D">
        <w:rPr>
          <w:rStyle w:val="Hervorhebung"/>
        </w:rPr>
        <w:t xml:space="preserve">Afin de poser une chaussée en béton reliant </w:t>
      </w:r>
      <w:proofErr w:type="spellStart"/>
      <w:r w:rsidRPr="0064331D">
        <w:rPr>
          <w:rStyle w:val="Hervorhebung"/>
        </w:rPr>
        <w:t>Itori</w:t>
      </w:r>
      <w:proofErr w:type="spellEnd"/>
      <w:r w:rsidRPr="0064331D">
        <w:rPr>
          <w:rStyle w:val="Hervorhebung"/>
        </w:rPr>
        <w:t xml:space="preserve"> à </w:t>
      </w:r>
      <w:proofErr w:type="spellStart"/>
      <w:r w:rsidRPr="0064331D">
        <w:rPr>
          <w:rStyle w:val="Hervorhebung"/>
        </w:rPr>
        <w:t>Ibese</w:t>
      </w:r>
      <w:proofErr w:type="spellEnd"/>
      <w:r w:rsidRPr="0064331D">
        <w:rPr>
          <w:rStyle w:val="Hervorhebung"/>
        </w:rPr>
        <w:t xml:space="preserve"> dans l</w:t>
      </w:r>
      <w:r>
        <w:rPr>
          <w:rStyle w:val="Hervorhebung"/>
        </w:rPr>
        <w:t xml:space="preserve">’État </w:t>
      </w:r>
      <w:r w:rsidRPr="0064331D">
        <w:rPr>
          <w:rStyle w:val="Hervorhebung"/>
        </w:rPr>
        <w:t>d’</w:t>
      </w:r>
      <w:proofErr w:type="spellStart"/>
      <w:r w:rsidRPr="0064331D">
        <w:rPr>
          <w:rStyle w:val="Hervorhebung"/>
        </w:rPr>
        <w:t>Ogun</w:t>
      </w:r>
      <w:proofErr w:type="spellEnd"/>
      <w:r w:rsidR="00F14858">
        <w:rPr>
          <w:rStyle w:val="Hervorhebung"/>
        </w:rPr>
        <w:t xml:space="preserve"> au Nigeria</w:t>
      </w:r>
      <w:r w:rsidRPr="0064331D">
        <w:rPr>
          <w:rStyle w:val="Hervorhebung"/>
        </w:rPr>
        <w:t>, la société AG-</w:t>
      </w:r>
      <w:proofErr w:type="spellStart"/>
      <w:r w:rsidRPr="0064331D">
        <w:rPr>
          <w:rStyle w:val="Hervorhebung"/>
        </w:rPr>
        <w:t>Dangote</w:t>
      </w:r>
      <w:proofErr w:type="spellEnd"/>
      <w:r w:rsidRPr="0064331D">
        <w:rPr>
          <w:rStyle w:val="Hervorhebung"/>
        </w:rPr>
        <w:t xml:space="preserve"> Construction </w:t>
      </w:r>
      <w:proofErr w:type="spellStart"/>
      <w:r w:rsidR="002411A4">
        <w:rPr>
          <w:rStyle w:val="Hervorhebung"/>
        </w:rPr>
        <w:t>Company</w:t>
      </w:r>
      <w:proofErr w:type="spellEnd"/>
      <w:r w:rsidR="002411A4">
        <w:rPr>
          <w:rStyle w:val="Hervorhebung"/>
        </w:rPr>
        <w:t xml:space="preserve"> Limited </w:t>
      </w:r>
      <w:r w:rsidRPr="0064331D">
        <w:rPr>
          <w:rStyle w:val="Hervorhebung"/>
        </w:rPr>
        <w:t>a mis en œuvre la technologie bien établie de la machine à coffrage glissant SP 500 de W</w:t>
      </w:r>
      <w:r w:rsidR="00F84716">
        <w:rPr>
          <w:rStyle w:val="Hervorhebung"/>
        </w:rPr>
        <w:t>irtgen</w:t>
      </w:r>
      <w:r w:rsidRPr="0064331D">
        <w:rPr>
          <w:rStyle w:val="Hervorhebung"/>
        </w:rPr>
        <w:t xml:space="preserve">. </w:t>
      </w:r>
    </w:p>
    <w:p w:rsidR="00CA37B6" w:rsidRPr="0064331D" w:rsidRDefault="00CA37B6" w:rsidP="00244981">
      <w:pPr>
        <w:pStyle w:val="Text"/>
        <w:spacing w:line="276" w:lineRule="auto"/>
        <w:rPr>
          <w:lang w:eastAsia="de-DE"/>
        </w:rPr>
      </w:pPr>
    </w:p>
    <w:p w:rsidR="00CA37B6" w:rsidRPr="0064331D" w:rsidRDefault="00CA37B6" w:rsidP="00A01F53">
      <w:pPr>
        <w:pStyle w:val="Text"/>
        <w:spacing w:line="276" w:lineRule="auto"/>
      </w:pPr>
      <w:r w:rsidRPr="0064331D">
        <w:t xml:space="preserve">Pour ce projet, l’entreprise de construction exécutante – fruit d’une coopération entre l’entreprise brésilienne Andrade Gutierrez et </w:t>
      </w:r>
      <w:r w:rsidRPr="00034E58">
        <w:t xml:space="preserve">le </w:t>
      </w:r>
      <w:r w:rsidR="00E3026D" w:rsidRPr="00034E58">
        <w:t xml:space="preserve">Groupe </w:t>
      </w:r>
      <w:proofErr w:type="spellStart"/>
      <w:r w:rsidR="00E3026D" w:rsidRPr="00034E58">
        <w:t>Dangote</w:t>
      </w:r>
      <w:proofErr w:type="spellEnd"/>
      <w:r w:rsidR="00E3026D" w:rsidRPr="00034E58">
        <w:t xml:space="preserve"> basé au </w:t>
      </w:r>
      <w:r w:rsidRPr="00034E58">
        <w:t>Nigeria</w:t>
      </w:r>
      <w:r w:rsidRPr="0064331D">
        <w:t xml:space="preserve"> – a principalement misé sur cette machine à coffrage glissant en mode </w:t>
      </w:r>
      <w:proofErr w:type="spellStart"/>
      <w:r w:rsidRPr="0064331D">
        <w:t>Inset</w:t>
      </w:r>
      <w:proofErr w:type="spellEnd"/>
      <w:r w:rsidR="00E3026D" w:rsidRPr="00034E58">
        <w:t>,</w:t>
      </w:r>
      <w:r w:rsidRPr="0064331D">
        <w:t xml:space="preserve"> assurant une pose de béton rentable et précise. </w:t>
      </w:r>
    </w:p>
    <w:p w:rsidR="00CA37B6" w:rsidRPr="0064331D" w:rsidRDefault="00CA37B6" w:rsidP="00A01F53">
      <w:pPr>
        <w:pStyle w:val="Text"/>
        <w:spacing w:line="276" w:lineRule="auto"/>
      </w:pPr>
    </w:p>
    <w:p w:rsidR="00CA37B6" w:rsidRPr="0064331D" w:rsidRDefault="00CA37B6" w:rsidP="00A01F53">
      <w:pPr>
        <w:pStyle w:val="Text"/>
        <w:spacing w:line="276" w:lineRule="auto"/>
        <w:rPr>
          <w:b/>
        </w:rPr>
      </w:pPr>
      <w:r w:rsidRPr="0064331D">
        <w:rPr>
          <w:b/>
        </w:rPr>
        <w:t xml:space="preserve">Principe de la pose </w:t>
      </w:r>
      <w:proofErr w:type="spellStart"/>
      <w:r w:rsidRPr="0064331D">
        <w:rPr>
          <w:b/>
        </w:rPr>
        <w:t>Inset</w:t>
      </w:r>
      <w:proofErr w:type="spellEnd"/>
    </w:p>
    <w:p w:rsidR="00CA37B6" w:rsidRPr="0064331D" w:rsidRDefault="00CA37B6" w:rsidP="00A01F53">
      <w:pPr>
        <w:pStyle w:val="Text"/>
        <w:spacing w:line="276" w:lineRule="auto"/>
      </w:pPr>
      <w:r w:rsidRPr="0064331D">
        <w:t xml:space="preserve">Dans les applications de pose </w:t>
      </w:r>
      <w:proofErr w:type="spellStart"/>
      <w:r w:rsidRPr="0064331D">
        <w:t>Inset</w:t>
      </w:r>
      <w:proofErr w:type="spellEnd"/>
      <w:r w:rsidRPr="0064331D">
        <w:t>, le béton est déposé, selon l</w:t>
      </w:r>
      <w:r>
        <w:t xml:space="preserve">es </w:t>
      </w:r>
      <w:r w:rsidRPr="0064331D">
        <w:t>exigence</w:t>
      </w:r>
      <w:r>
        <w:t>s requises</w:t>
      </w:r>
      <w:r w:rsidRPr="0064331D">
        <w:t>, soit directement devant la machine à coffrage glissant, soit latéralement par un convoyeur à bande ou un alimentateur latéral devant la machine. Ensuite, une vis ou une lame de répartitio</w:t>
      </w:r>
      <w:r w:rsidR="00367A43">
        <w:t xml:space="preserve">n </w:t>
      </w:r>
      <w:r w:rsidR="00BC5AFB" w:rsidRPr="00034E58">
        <w:t>dispose</w:t>
      </w:r>
      <w:r w:rsidRPr="00034E58">
        <w:t xml:space="preserve"> </w:t>
      </w:r>
      <w:r w:rsidRPr="0064331D">
        <w:t xml:space="preserve">le béton uniformément sur toute la largeur de pose. Des vibreurs électriques ou hydrauliques intégrés compactent le béton de manière homogène. Lorsque la machine avance, le coffrage glissant </w:t>
      </w:r>
      <w:proofErr w:type="spellStart"/>
      <w:r w:rsidRPr="0064331D">
        <w:t>Inset</w:t>
      </w:r>
      <w:proofErr w:type="spellEnd"/>
      <w:r w:rsidRPr="0064331D">
        <w:t xml:space="preserve"> donne sa forme au revêtement en béton selon la largeur et l’épaisseur définies. En outre, une </w:t>
      </w:r>
      <w:proofErr w:type="spellStart"/>
      <w:r w:rsidRPr="0064331D">
        <w:t>goujonneuse</w:t>
      </w:r>
      <w:proofErr w:type="spellEnd"/>
      <w:r w:rsidRPr="0064331D">
        <w:t xml:space="preserve"> peut être intégrée afin d’insérer des goujons dans le béton parallèlement au sens de l’avance</w:t>
      </w:r>
      <w:r w:rsidRPr="00034E58">
        <w:t xml:space="preserve"> </w:t>
      </w:r>
      <w:r w:rsidRPr="0064331D">
        <w:t>conformément au cahier des charges. Des barres de liaison latérales ou centrales peuvent être insérées perpendiculairement à la chaussée. La poutre correctrice passe sur la chaussée dans son sens transversal. Le mouvement de frottement produit un petit bourrelet en béton devant l</w:t>
      </w:r>
      <w:r w:rsidR="00BF66A0">
        <w:t>a poutre</w:t>
      </w:r>
      <w:r w:rsidR="00F14858">
        <w:t xml:space="preserve">, </w:t>
      </w:r>
      <w:r w:rsidRPr="0064331D">
        <w:t xml:space="preserve">qui contribue également à l’excellente qualité de la surface. </w:t>
      </w:r>
      <w:r w:rsidRPr="00034E58">
        <w:t>Une taloche se charge ensuite d’obtenir la planéité finale requise par une combinaison de mouvements d’oscillation longitudinaux et transversaux</w:t>
      </w:r>
      <w:r w:rsidRPr="0064331D">
        <w:t>. Pour finir, des machines de traitement de surface W</w:t>
      </w:r>
      <w:r w:rsidR="00F84716">
        <w:t>irtgen</w:t>
      </w:r>
      <w:r w:rsidRPr="0064331D">
        <w:t xml:space="preserve"> telles que la TCM 95 ou la TCM 180 donnent au revêtement la structure de surface souhaitée, </w:t>
      </w:r>
      <w:r>
        <w:t xml:space="preserve">puis </w:t>
      </w:r>
      <w:r w:rsidRPr="0064331D">
        <w:t xml:space="preserve">l’application </w:t>
      </w:r>
      <w:r w:rsidR="00F3397C" w:rsidRPr="00034E58">
        <w:t xml:space="preserve">d’un produit de curage </w:t>
      </w:r>
      <w:r w:rsidRPr="0064331D">
        <w:t xml:space="preserve">sur le revêtement en béton </w:t>
      </w:r>
      <w:r>
        <w:t xml:space="preserve">permet </w:t>
      </w:r>
      <w:r w:rsidRPr="0064331D">
        <w:t xml:space="preserve">en outre </w:t>
      </w:r>
      <w:r>
        <w:t xml:space="preserve">d’empêcher </w:t>
      </w:r>
      <w:r w:rsidRPr="0064331D">
        <w:t>que la surface et les bords ne sèchent trop vite.</w:t>
      </w:r>
    </w:p>
    <w:p w:rsidR="00CA37B6" w:rsidRPr="0064331D" w:rsidRDefault="00CA37B6" w:rsidP="00A01F53">
      <w:pPr>
        <w:pStyle w:val="Text"/>
        <w:spacing w:line="276" w:lineRule="auto"/>
      </w:pPr>
    </w:p>
    <w:p w:rsidR="00CA37B6" w:rsidRPr="0064331D" w:rsidRDefault="00CA37B6" w:rsidP="00244981">
      <w:pPr>
        <w:pStyle w:val="Text"/>
        <w:spacing w:line="276" w:lineRule="auto"/>
        <w:rPr>
          <w:b/>
        </w:rPr>
      </w:pPr>
      <w:r w:rsidRPr="0064331D">
        <w:rPr>
          <w:b/>
        </w:rPr>
        <w:t>La chaussée en béton la plus longue du Nigeria</w:t>
      </w:r>
    </w:p>
    <w:p w:rsidR="00F84716" w:rsidRDefault="00CA37B6" w:rsidP="00244981">
      <w:pPr>
        <w:pStyle w:val="Text"/>
        <w:spacing w:line="276" w:lineRule="auto"/>
      </w:pPr>
      <w:r w:rsidRPr="0064331D">
        <w:t xml:space="preserve">Avant que la machine à coffrage glissant – posant des couches de béton sur une largeur allant généralement jusqu’à 6,0 m et sur une épaisseur de 400 mm – puisse démarrer les travaux à </w:t>
      </w:r>
      <w:proofErr w:type="spellStart"/>
      <w:r w:rsidRPr="0064331D">
        <w:t>Itori</w:t>
      </w:r>
      <w:proofErr w:type="spellEnd"/>
      <w:r w:rsidRPr="0064331D">
        <w:t xml:space="preserve">, il a fallu préparer le substrat. Pour ce faire, l’entreprise exécutante a utilisé de la latérite compactée ainsi qu’une couche de </w:t>
      </w:r>
      <w:r>
        <w:t xml:space="preserve">pierres </w:t>
      </w:r>
      <w:r w:rsidRPr="0064331D">
        <w:t xml:space="preserve">concassées d’une épaisseur de 20 cm. </w:t>
      </w:r>
      <w:r w:rsidR="00887CD4" w:rsidRPr="00034E58">
        <w:t>« </w:t>
      </w:r>
    </w:p>
    <w:p w:rsidR="00CA37B6" w:rsidRDefault="00887CD4" w:rsidP="00244981">
      <w:pPr>
        <w:pStyle w:val="Text"/>
        <w:spacing w:line="276" w:lineRule="auto"/>
      </w:pPr>
      <w:r w:rsidRPr="00034E58">
        <w:lastRenderedPageBreak/>
        <w:t>La SP 500 y a ensuite posé le béton rapid</w:t>
      </w:r>
      <w:r w:rsidR="005C2D8A">
        <w:t>ement, en optimisant les coûts</w:t>
      </w:r>
      <w:r w:rsidRPr="00034E58">
        <w:t>.</w:t>
      </w:r>
      <w:r w:rsidR="00034E58">
        <w:t xml:space="preserve"> </w:t>
      </w:r>
      <w:r w:rsidR="00CA37B6" w:rsidRPr="0064331D">
        <w:t>Cette machine nous permet en outre d’</w:t>
      </w:r>
      <w:r w:rsidR="00CA37B6">
        <w:t>atteindre</w:t>
      </w:r>
      <w:r w:rsidR="00CA37B6" w:rsidRPr="0064331D">
        <w:t xml:space="preserve"> une qualité </w:t>
      </w:r>
      <w:r w:rsidR="00CA37B6">
        <w:t xml:space="preserve">de pose </w:t>
      </w:r>
      <w:r w:rsidR="00CA37B6" w:rsidRPr="0064331D">
        <w:t xml:space="preserve">conforme aux valeurs requises en termes de planéité », explique </w:t>
      </w:r>
      <w:proofErr w:type="spellStart"/>
      <w:r w:rsidR="00CA37B6" w:rsidRPr="0064331D">
        <w:t>Ashif</w:t>
      </w:r>
      <w:proofErr w:type="spellEnd"/>
      <w:r w:rsidR="00CA37B6" w:rsidRPr="0064331D">
        <w:t xml:space="preserve"> </w:t>
      </w:r>
      <w:proofErr w:type="spellStart"/>
      <w:r w:rsidR="00CA37B6" w:rsidRPr="0064331D">
        <w:t>Juma</w:t>
      </w:r>
      <w:proofErr w:type="spellEnd"/>
      <w:r w:rsidR="00CA37B6" w:rsidRPr="0064331D">
        <w:t xml:space="preserve">, dirigeant de la société </w:t>
      </w:r>
      <w:r w:rsidR="00034E58">
        <w:t>AG-</w:t>
      </w:r>
      <w:proofErr w:type="spellStart"/>
      <w:r w:rsidR="00034E58">
        <w:t>Dangote</w:t>
      </w:r>
      <w:proofErr w:type="spellEnd"/>
      <w:r w:rsidR="00034E58">
        <w:t xml:space="preserve"> Construction</w:t>
      </w:r>
      <w:r w:rsidR="002411A4">
        <w:t xml:space="preserve"> </w:t>
      </w:r>
      <w:proofErr w:type="spellStart"/>
      <w:r w:rsidR="002411A4">
        <w:t>Company</w:t>
      </w:r>
      <w:proofErr w:type="spellEnd"/>
      <w:r w:rsidR="002411A4">
        <w:t xml:space="preserve"> Limited</w:t>
      </w:r>
      <w:r w:rsidR="00CA37B6" w:rsidRPr="0064331D">
        <w:t xml:space="preserve">. La SP 500 a posé la nouvelle chaussée de 7,50 m de largeur et de 20 cm d’épaisseur en deux opérations distinctes. Avec ses 24 kilomètres, cette nouvelle route est désormais la plus longue </w:t>
      </w:r>
      <w:r w:rsidR="00034E58" w:rsidRPr="0022445E">
        <w:t xml:space="preserve">chaussée </w:t>
      </w:r>
      <w:r w:rsidR="00BE552D" w:rsidRPr="0022445E">
        <w:t>continue</w:t>
      </w:r>
      <w:r w:rsidR="00BE552D" w:rsidRPr="002E3906">
        <w:rPr>
          <w:color w:val="00B050"/>
        </w:rPr>
        <w:t xml:space="preserve"> </w:t>
      </w:r>
      <w:r w:rsidR="00CA37B6" w:rsidRPr="0064331D">
        <w:t xml:space="preserve">en béton du Nigeria. </w:t>
      </w:r>
    </w:p>
    <w:p w:rsidR="00034E58" w:rsidRPr="0064331D" w:rsidRDefault="00034E58" w:rsidP="00244981">
      <w:pPr>
        <w:pStyle w:val="Text"/>
        <w:spacing w:line="276" w:lineRule="auto"/>
      </w:pPr>
    </w:p>
    <w:p w:rsidR="00CA37B6" w:rsidRPr="00B704A5" w:rsidRDefault="00CA37B6" w:rsidP="00B15B4C">
      <w:pPr>
        <w:pStyle w:val="Text"/>
        <w:rPr>
          <w:b/>
        </w:rPr>
      </w:pPr>
      <w:r w:rsidRPr="00B704A5">
        <w:rPr>
          <w:b/>
        </w:rPr>
        <w:t>De la matière première au matériau de construction – les W</w:t>
      </w:r>
      <w:r w:rsidR="00F84716">
        <w:rPr>
          <w:b/>
        </w:rPr>
        <w:t>irtgen</w:t>
      </w:r>
      <w:r w:rsidRPr="00B704A5">
        <w:rPr>
          <w:b/>
        </w:rPr>
        <w:t xml:space="preserve"> Surface Miner en amont de la </w:t>
      </w:r>
      <w:r w:rsidR="00B4117B" w:rsidRPr="00B704A5">
        <w:rPr>
          <w:b/>
        </w:rPr>
        <w:t>chaîne de</w:t>
      </w:r>
      <w:r w:rsidR="008D71E9" w:rsidRPr="00B704A5">
        <w:rPr>
          <w:b/>
        </w:rPr>
        <w:t xml:space="preserve"> </w:t>
      </w:r>
      <w:r w:rsidR="00B704A5" w:rsidRPr="00B704A5">
        <w:rPr>
          <w:b/>
        </w:rPr>
        <w:t>production</w:t>
      </w:r>
    </w:p>
    <w:p w:rsidR="00CA37B6" w:rsidRPr="0064331D" w:rsidRDefault="00CA37B6" w:rsidP="00BC2049">
      <w:pPr>
        <w:pStyle w:val="Text"/>
        <w:spacing w:line="276" w:lineRule="auto"/>
      </w:pPr>
      <w:r w:rsidRPr="00B704A5">
        <w:t xml:space="preserve">Afin de fournir suffisamment de matériau à la machine à coffrage glissant, jusqu’à 15 camions malaxeurs se sont succédés sur le chantier et ont déversé le matériau directement devant la machine. Mais avant de pouvoir poser le béton, il faut tout d’abord produire le matériau. </w:t>
      </w:r>
      <w:r w:rsidR="00B704A5" w:rsidRPr="00B704A5">
        <w:t>A la racine</w:t>
      </w:r>
      <w:r w:rsidR="00B704A5" w:rsidRPr="00781A75">
        <w:t xml:space="preserve"> de la</w:t>
      </w:r>
      <w:r w:rsidRPr="00B704A5">
        <w:t xml:space="preserve"> chaîne de production se trouve l’extraction de calcaire, ce minéral étant l’un des constituants de base du ciment qui, à son tour, est le composant de base du béton. Le </w:t>
      </w:r>
      <w:r w:rsidR="008C6C28" w:rsidRPr="00781A75">
        <w:t xml:space="preserve">Groupe </w:t>
      </w:r>
      <w:proofErr w:type="spellStart"/>
      <w:r w:rsidR="008C6C28" w:rsidRPr="00781A75">
        <w:t>Dangote</w:t>
      </w:r>
      <w:proofErr w:type="spellEnd"/>
      <w:r w:rsidRPr="00781A75">
        <w:t xml:space="preserve"> </w:t>
      </w:r>
      <w:r w:rsidRPr="00B704A5">
        <w:t>extrait le calcaire dans son exploitation à ciel ouvert d’</w:t>
      </w:r>
      <w:proofErr w:type="spellStart"/>
      <w:r w:rsidRPr="00B704A5">
        <w:t>Ibese</w:t>
      </w:r>
      <w:proofErr w:type="spellEnd"/>
      <w:r w:rsidRPr="00B704A5">
        <w:t>, où 14 W</w:t>
      </w:r>
      <w:r w:rsidR="00F84716">
        <w:t>irtgen</w:t>
      </w:r>
      <w:r w:rsidRPr="00B704A5">
        <w:t xml:space="preserve"> </w:t>
      </w:r>
      <w:r w:rsidRPr="00781A75">
        <w:t xml:space="preserve">Surface Miner de type 2500 SM </w:t>
      </w:r>
      <w:r w:rsidRPr="00B704A5">
        <w:t xml:space="preserve">sont mis en œuvre pour </w:t>
      </w:r>
      <w:proofErr w:type="spellStart"/>
      <w:r w:rsidRPr="00781A75">
        <w:t>Dangote</w:t>
      </w:r>
      <w:proofErr w:type="spellEnd"/>
      <w:r w:rsidRPr="00781A75">
        <w:t xml:space="preserve"> </w:t>
      </w:r>
      <w:proofErr w:type="spellStart"/>
      <w:r w:rsidRPr="00781A75">
        <w:t>Cement</w:t>
      </w:r>
      <w:proofErr w:type="spellEnd"/>
      <w:r w:rsidRPr="00B704A5">
        <w:t xml:space="preserve">. Ainsi, le </w:t>
      </w:r>
      <w:r w:rsidR="008C6C28" w:rsidRPr="00781A75">
        <w:t xml:space="preserve">Groupe </w:t>
      </w:r>
      <w:proofErr w:type="spellStart"/>
      <w:r w:rsidR="008C6C28" w:rsidRPr="00781A75">
        <w:t>Dangote</w:t>
      </w:r>
      <w:proofErr w:type="spellEnd"/>
      <w:r w:rsidR="008C6C28" w:rsidRPr="00781A75">
        <w:t xml:space="preserve"> </w:t>
      </w:r>
      <w:r w:rsidRPr="00B704A5">
        <w:t xml:space="preserve">a non seulement recours aux engins de construction routière du </w:t>
      </w:r>
      <w:r w:rsidR="00F84716">
        <w:t>Wirtgen Group</w:t>
      </w:r>
      <w:r w:rsidRPr="00B704A5">
        <w:t xml:space="preserve"> issus de la division Road Technologies, mais également aux technologies d’extraction de la division </w:t>
      </w:r>
      <w:proofErr w:type="spellStart"/>
      <w:r w:rsidRPr="00B704A5">
        <w:t>Mineral</w:t>
      </w:r>
      <w:proofErr w:type="spellEnd"/>
      <w:r w:rsidRPr="00B704A5">
        <w:t xml:space="preserve"> Technologies. Les W</w:t>
      </w:r>
      <w:r w:rsidR="00F84716">
        <w:t>irtgen</w:t>
      </w:r>
      <w:r w:rsidRPr="00B704A5">
        <w:t xml:space="preserve"> Surface Miner taillent, concassent et chargent la roche en une seule opération. La roche abattue est concassée jusqu’à atteindre la taille requise pour pouvoir être acheminée directement sur le convoyeur, ce qui rend superflue l’utilisation d’une installation de concassage. Cela permet d’économiser du temps et de réduire l’ensemble des coûts d’extraction. Outre ces machines, W</w:t>
      </w:r>
      <w:r w:rsidR="00F84716">
        <w:t>irtgen</w:t>
      </w:r>
      <w:r w:rsidRPr="00B704A5">
        <w:t xml:space="preserve"> avait déjà apporté son assistance au </w:t>
      </w:r>
      <w:r w:rsidR="008C6C28" w:rsidRPr="00781A75">
        <w:t xml:space="preserve">Groupe </w:t>
      </w:r>
      <w:proofErr w:type="spellStart"/>
      <w:r w:rsidR="008C6C28" w:rsidRPr="00781A75">
        <w:t>Dangote</w:t>
      </w:r>
      <w:proofErr w:type="spellEnd"/>
      <w:r w:rsidR="008C6C28" w:rsidRPr="00781A75">
        <w:t xml:space="preserve"> </w:t>
      </w:r>
      <w:r w:rsidRPr="00B704A5">
        <w:t>avant la mise en service de l’exploitation à ciel ouvert d’</w:t>
      </w:r>
      <w:proofErr w:type="spellStart"/>
      <w:r w:rsidRPr="00B704A5">
        <w:t>Ibese</w:t>
      </w:r>
      <w:proofErr w:type="spellEnd"/>
      <w:r w:rsidRPr="00B704A5">
        <w:t xml:space="preserve"> lors de la planification de la logistique de production ainsi que pour la formation de la main d’œuvre sur place. Ce partenariat existe maintenant depuis plus de 15 ans. Il a donc paru logique à la société </w:t>
      </w:r>
      <w:r w:rsidRPr="00781A75">
        <w:rPr>
          <w:iCs/>
        </w:rPr>
        <w:t>AG-</w:t>
      </w:r>
      <w:proofErr w:type="spellStart"/>
      <w:r w:rsidRPr="00781A75">
        <w:rPr>
          <w:iCs/>
        </w:rPr>
        <w:t>Dangote</w:t>
      </w:r>
      <w:proofErr w:type="spellEnd"/>
      <w:r w:rsidRPr="00781A75">
        <w:rPr>
          <w:iCs/>
        </w:rPr>
        <w:t xml:space="preserve"> Construction </w:t>
      </w:r>
      <w:proofErr w:type="spellStart"/>
      <w:r w:rsidR="00F84716">
        <w:rPr>
          <w:iCs/>
        </w:rPr>
        <w:t>Company</w:t>
      </w:r>
      <w:proofErr w:type="spellEnd"/>
      <w:r w:rsidR="00F84716">
        <w:rPr>
          <w:iCs/>
        </w:rPr>
        <w:t xml:space="preserve"> Limited </w:t>
      </w:r>
      <w:r w:rsidRPr="00781A75">
        <w:rPr>
          <w:iCs/>
        </w:rPr>
        <w:t>de miser sur les technologies et le savoir-faire de W</w:t>
      </w:r>
      <w:r w:rsidR="00F84716">
        <w:rPr>
          <w:iCs/>
        </w:rPr>
        <w:t>irtgen</w:t>
      </w:r>
      <w:r w:rsidRPr="00781A75">
        <w:rPr>
          <w:iCs/>
        </w:rPr>
        <w:t xml:space="preserve"> dans le cadre du chantier routier entre </w:t>
      </w:r>
      <w:proofErr w:type="spellStart"/>
      <w:r w:rsidRPr="00781A75">
        <w:rPr>
          <w:iCs/>
        </w:rPr>
        <w:t>Itori</w:t>
      </w:r>
      <w:proofErr w:type="spellEnd"/>
      <w:r w:rsidRPr="00781A75">
        <w:rPr>
          <w:iCs/>
        </w:rPr>
        <w:t xml:space="preserve"> et </w:t>
      </w:r>
      <w:proofErr w:type="spellStart"/>
      <w:r w:rsidRPr="00781A75">
        <w:rPr>
          <w:iCs/>
        </w:rPr>
        <w:t>Ibese</w:t>
      </w:r>
      <w:proofErr w:type="spellEnd"/>
      <w:r w:rsidRPr="00781A75">
        <w:rPr>
          <w:iCs/>
        </w:rPr>
        <w:t xml:space="preserve">. </w:t>
      </w:r>
    </w:p>
    <w:p w:rsidR="00034E58" w:rsidRPr="002E3906" w:rsidRDefault="00034E58" w:rsidP="00244981">
      <w:pPr>
        <w:pStyle w:val="Text"/>
        <w:spacing w:line="276" w:lineRule="auto"/>
        <w:rPr>
          <w:b/>
          <w:color w:val="00B050"/>
          <w:u w:val="single"/>
        </w:rPr>
      </w:pPr>
    </w:p>
    <w:p w:rsidR="00CA37B6" w:rsidRPr="0064331D" w:rsidRDefault="00CA37B6" w:rsidP="00B15B4C">
      <w:pPr>
        <w:pStyle w:val="Text"/>
        <w:spacing w:line="276" w:lineRule="auto"/>
        <w:rPr>
          <w:rStyle w:val="Hervorhebung"/>
        </w:rPr>
      </w:pPr>
      <w:r w:rsidRPr="0064331D">
        <w:rPr>
          <w:rStyle w:val="Hervorhebung"/>
        </w:rPr>
        <w:t>Les machines à coffrage glissant de W</w:t>
      </w:r>
      <w:r w:rsidR="00F84716">
        <w:rPr>
          <w:rStyle w:val="Hervorhebung"/>
        </w:rPr>
        <w:t>irtgen</w:t>
      </w:r>
      <w:r w:rsidRPr="0064331D">
        <w:rPr>
          <w:rStyle w:val="Hervorhebung"/>
        </w:rPr>
        <w:t xml:space="preserve"> fournissent un résultat de pose de haute précision</w:t>
      </w:r>
    </w:p>
    <w:p w:rsidR="00CA37B6" w:rsidRPr="0064331D" w:rsidRDefault="00CA37B6" w:rsidP="00B15B4C">
      <w:pPr>
        <w:pStyle w:val="Text"/>
        <w:spacing w:line="276" w:lineRule="auto"/>
      </w:pPr>
      <w:r w:rsidRPr="0064331D">
        <w:t xml:space="preserve">« La SP 500 a non seulement assuré un parfait déroulement des travaux, mais elle a également pu convaincre </w:t>
      </w:r>
      <w:r w:rsidRPr="00034E58">
        <w:t xml:space="preserve">le donneur d’ordre </w:t>
      </w:r>
      <w:r w:rsidRPr="0064331D">
        <w:t>par la qualité des résultats obtenus. La machine à coffrage glissant de W</w:t>
      </w:r>
      <w:r w:rsidR="00F84716">
        <w:t>irtgen</w:t>
      </w:r>
      <w:r w:rsidRPr="0064331D">
        <w:t xml:space="preserve"> nous a permis de </w:t>
      </w:r>
      <w:r>
        <w:t>poser</w:t>
      </w:r>
      <w:r w:rsidRPr="0064331D">
        <w:t xml:space="preserve"> plus de 35 000 m³ de béton et de réaliser une surface parfaitement plane », se félicite </w:t>
      </w:r>
      <w:proofErr w:type="spellStart"/>
      <w:r w:rsidRPr="0064331D">
        <w:t>Ashif</w:t>
      </w:r>
      <w:proofErr w:type="spellEnd"/>
      <w:r w:rsidRPr="0064331D">
        <w:t xml:space="preserve"> </w:t>
      </w:r>
      <w:proofErr w:type="spellStart"/>
      <w:r w:rsidRPr="0064331D">
        <w:t>Juma</w:t>
      </w:r>
      <w:proofErr w:type="spellEnd"/>
      <w:r w:rsidRPr="0064331D">
        <w:t xml:space="preserve">. </w:t>
      </w:r>
    </w:p>
    <w:p w:rsidR="00CA37B6" w:rsidRPr="0064331D" w:rsidRDefault="00CA37B6" w:rsidP="00C644CA">
      <w:pPr>
        <w:pStyle w:val="Text"/>
      </w:pPr>
    </w:p>
    <w:p w:rsidR="00F84716" w:rsidRDefault="00CA37B6" w:rsidP="007C4C31">
      <w:pPr>
        <w:pStyle w:val="Text"/>
        <w:spacing w:line="276" w:lineRule="auto"/>
      </w:pPr>
      <w:r w:rsidRPr="0064331D">
        <w:t xml:space="preserve">La SP 500 se distingue par sa précision, sa flexibilité et sa fiabilité. Des attributs qui valent aussi pour la nouvelle génération de machines à coffrage glissant, à savoir </w:t>
      </w:r>
      <w:r>
        <w:t>l</w:t>
      </w:r>
      <w:r w:rsidRPr="0064331D">
        <w:t xml:space="preserve">es modèles SP 61/SP 61i, SP 62/SP 62i et SP 64/SP 64i </w:t>
      </w:r>
      <w:r>
        <w:t xml:space="preserve">de </w:t>
      </w:r>
      <w:r w:rsidRPr="0064331D">
        <w:t>la nouvelle série SP 60</w:t>
      </w:r>
      <w:r>
        <w:t xml:space="preserve">, qui </w:t>
      </w:r>
      <w:r w:rsidRPr="0064331D">
        <w:t xml:space="preserve">vient prendre la relève de la SP 500, modèle </w:t>
      </w:r>
      <w:r>
        <w:t>au</w:t>
      </w:r>
      <w:r w:rsidRPr="0064331D">
        <w:t xml:space="preserve"> succès international. </w:t>
      </w:r>
    </w:p>
    <w:p w:rsidR="00CA37B6" w:rsidRPr="0064331D" w:rsidRDefault="00CA37B6" w:rsidP="007C4C31">
      <w:pPr>
        <w:pStyle w:val="Text"/>
        <w:spacing w:line="276" w:lineRule="auto"/>
      </w:pPr>
      <w:r w:rsidRPr="0064331D">
        <w:lastRenderedPageBreak/>
        <w:t xml:space="preserve">Comme la SP 500, la série SP 60 est équipée de différentes options pour les diverses applications de pose </w:t>
      </w:r>
      <w:proofErr w:type="spellStart"/>
      <w:r w:rsidRPr="0064331D">
        <w:t>Inset</w:t>
      </w:r>
      <w:proofErr w:type="spellEnd"/>
      <w:r w:rsidRPr="0064331D">
        <w:t xml:space="preserve"> et Offset – entre autres vibreurs hydrauliques ou électriques, </w:t>
      </w:r>
      <w:proofErr w:type="spellStart"/>
      <w:r w:rsidRPr="0064331D">
        <w:t>goujonneuse</w:t>
      </w:r>
      <w:proofErr w:type="spellEnd"/>
      <w:r w:rsidRPr="0064331D">
        <w:t xml:space="preserve">, équipements lisseurs, bras pivotants, guidage 3D sans fil ou encore différents moules de coffrage Offset. </w:t>
      </w:r>
    </w:p>
    <w:p w:rsidR="00CA37B6" w:rsidRPr="0064331D" w:rsidRDefault="00CA37B6" w:rsidP="007C4C31">
      <w:pPr>
        <w:pStyle w:val="Text"/>
        <w:spacing w:line="276" w:lineRule="auto"/>
      </w:pPr>
    </w:p>
    <w:p w:rsidR="00CA37B6" w:rsidRPr="0064331D" w:rsidRDefault="00CA37B6" w:rsidP="007C4C31">
      <w:pPr>
        <w:pStyle w:val="Text"/>
        <w:spacing w:line="276" w:lineRule="auto"/>
      </w:pPr>
      <w:r w:rsidRPr="0064331D">
        <w:t xml:space="preserve">Ainsi, </w:t>
      </w:r>
      <w:r w:rsidRPr="00034E58">
        <w:t>l’</w:t>
      </w:r>
      <w:proofErr w:type="spellStart"/>
      <w:r w:rsidRPr="00034E58">
        <w:t>inserteur</w:t>
      </w:r>
      <w:proofErr w:type="spellEnd"/>
      <w:r w:rsidRPr="00034E58">
        <w:t xml:space="preserve"> de barres de liaison latérales,</w:t>
      </w:r>
      <w:r w:rsidR="008B4045">
        <w:t xml:space="preserve"> qui </w:t>
      </w:r>
      <w:r w:rsidRPr="0064331D">
        <w:t xml:space="preserve">sur le chantier du Nigeria a introduit des barres de 12 mm de diamètre dans le béton </w:t>
      </w:r>
      <w:proofErr w:type="spellStart"/>
      <w:r w:rsidRPr="0064331D">
        <w:t>précompacté</w:t>
      </w:r>
      <w:proofErr w:type="spellEnd"/>
      <w:r w:rsidRPr="0064331D">
        <w:t xml:space="preserve"> en vue d’assurer une liaison fiable entre les chaussées adjacentes, peut être choisi par exemple comme équipement en option sur la SP 64/SP 64i. La nouvelle génération de machines à coffrage glissant combine ainsi la polyvalence de la SP 500 avec les technologies </w:t>
      </w:r>
      <w:r w:rsidR="00420A38">
        <w:t>ultramodernes de la série SP 90</w:t>
      </w:r>
      <w:r w:rsidR="0084378C">
        <w:t>.</w:t>
      </w:r>
    </w:p>
    <w:p w:rsidR="00CA37B6" w:rsidRPr="0064331D" w:rsidRDefault="00CA37B6" w:rsidP="007C4C31">
      <w:pPr>
        <w:pStyle w:val="Text"/>
        <w:spacing w:line="276" w:lineRule="auto"/>
      </w:pPr>
    </w:p>
    <w:p w:rsidR="00CA37B6" w:rsidRPr="0064331D" w:rsidRDefault="00CA37B6">
      <w:pPr>
        <w:rPr>
          <w:b/>
          <w:sz w:val="22"/>
        </w:rPr>
      </w:pPr>
    </w:p>
    <w:p w:rsidR="00CA37B6" w:rsidRPr="0064331D" w:rsidRDefault="00CA37B6" w:rsidP="007C4C31">
      <w:pPr>
        <w:pStyle w:val="Text"/>
        <w:spacing w:line="276" w:lineRule="auto"/>
        <w:rPr>
          <w:b/>
        </w:rPr>
      </w:pPr>
      <w:r w:rsidRPr="0064331D">
        <w:rPr>
          <w:b/>
        </w:rPr>
        <w:t>AG-</w:t>
      </w:r>
      <w:proofErr w:type="spellStart"/>
      <w:r w:rsidRPr="0064331D">
        <w:rPr>
          <w:b/>
        </w:rPr>
        <w:t>Dangote</w:t>
      </w:r>
      <w:proofErr w:type="spellEnd"/>
      <w:r w:rsidRPr="0064331D">
        <w:rPr>
          <w:b/>
        </w:rPr>
        <w:t xml:space="preserve"> agrandit sa flotte de machines WIRTGEN </w:t>
      </w:r>
    </w:p>
    <w:p w:rsidR="00CA37B6" w:rsidRPr="0064331D" w:rsidRDefault="00CA37B6" w:rsidP="003A0B3C">
      <w:pPr>
        <w:pStyle w:val="Text"/>
        <w:spacing w:line="276" w:lineRule="auto"/>
      </w:pPr>
      <w:r>
        <w:t>S</w:t>
      </w:r>
      <w:r w:rsidRPr="0064331D">
        <w:t xml:space="preserve">ix mois de travaux </w:t>
      </w:r>
      <w:r>
        <w:t xml:space="preserve">ont suffi </w:t>
      </w:r>
      <w:r w:rsidRPr="0064331D">
        <w:t xml:space="preserve">pour poser les 24 km de chaussée en béton. Après la pose, une machine de </w:t>
      </w:r>
      <w:r>
        <w:t>sciage</w:t>
      </w:r>
      <w:r w:rsidRPr="0064331D">
        <w:t xml:space="preserve"> du béton a réalisé des </w:t>
      </w:r>
      <w:r w:rsidR="007D6F57" w:rsidRPr="00034E58">
        <w:t>découpes transversales</w:t>
      </w:r>
      <w:r w:rsidRPr="00034E58">
        <w:t xml:space="preserve"> </w:t>
      </w:r>
      <w:r w:rsidRPr="0064331D">
        <w:t xml:space="preserve">dans la chaussée tous les 3,65 m, ces </w:t>
      </w:r>
      <w:r w:rsidR="007D6F57" w:rsidRPr="00034E58">
        <w:t>découpes</w:t>
      </w:r>
      <w:r w:rsidR="007D6F57">
        <w:t xml:space="preserve"> </w:t>
      </w:r>
      <w:r w:rsidRPr="0064331D">
        <w:t xml:space="preserve">devant ensuite être remplies d’un matériau souple pour réaliser des joints de dilatation. Ces points de rupture permettent de prévenir </w:t>
      </w:r>
      <w:r>
        <w:t xml:space="preserve">les </w:t>
      </w:r>
      <w:r w:rsidRPr="0064331D">
        <w:t xml:space="preserve">éventuelles fissures </w:t>
      </w:r>
      <w:r>
        <w:t>causées par les</w:t>
      </w:r>
      <w:r w:rsidRPr="0064331D">
        <w:t xml:space="preserve"> </w:t>
      </w:r>
      <w:r>
        <w:t>tensions</w:t>
      </w:r>
      <w:r w:rsidRPr="0064331D">
        <w:t xml:space="preserve">. « Et </w:t>
      </w:r>
      <w:r>
        <w:t>avec l’entretien approprié</w:t>
      </w:r>
      <w:r w:rsidRPr="0064331D">
        <w:t xml:space="preserve">, la chaussée pourra atteindre une </w:t>
      </w:r>
      <w:r>
        <w:t>longévité</w:t>
      </w:r>
      <w:r w:rsidRPr="0064331D">
        <w:t xml:space="preserve"> d’au moins 40 ans », explique </w:t>
      </w:r>
      <w:proofErr w:type="spellStart"/>
      <w:r w:rsidRPr="0064331D">
        <w:t>Ashif</w:t>
      </w:r>
      <w:proofErr w:type="spellEnd"/>
      <w:r w:rsidRPr="0064331D">
        <w:t xml:space="preserve"> </w:t>
      </w:r>
      <w:proofErr w:type="spellStart"/>
      <w:r w:rsidRPr="0064331D">
        <w:t>Juma</w:t>
      </w:r>
      <w:proofErr w:type="spellEnd"/>
      <w:r w:rsidRPr="0064331D">
        <w:t xml:space="preserve"> à propos de cette dernière opération. Fort de la réussite de ce projet, le dirigeant a décidé d’acheter </w:t>
      </w:r>
      <w:r w:rsidR="007D6F57" w:rsidRPr="00034E58">
        <w:t>une machine à coffrage glissant</w:t>
      </w:r>
      <w:r w:rsidRPr="00034E58">
        <w:t xml:space="preserve"> W</w:t>
      </w:r>
      <w:r w:rsidR="00F84716">
        <w:t>irtgen</w:t>
      </w:r>
      <w:r w:rsidRPr="00034E58">
        <w:t xml:space="preserve"> </w:t>
      </w:r>
      <w:r w:rsidRPr="0064331D">
        <w:t>supplémentaire. La société AG-</w:t>
      </w:r>
      <w:proofErr w:type="spellStart"/>
      <w:r w:rsidRPr="0064331D">
        <w:t>Dangote</w:t>
      </w:r>
      <w:proofErr w:type="spellEnd"/>
      <w:r w:rsidRPr="0064331D">
        <w:t xml:space="preserve"> Constr</w:t>
      </w:r>
      <w:r w:rsidR="00034E58">
        <w:t xml:space="preserve">uction </w:t>
      </w:r>
      <w:proofErr w:type="spellStart"/>
      <w:r w:rsidR="00F84716">
        <w:t>Company</w:t>
      </w:r>
      <w:proofErr w:type="spellEnd"/>
      <w:r w:rsidR="00F84716">
        <w:t xml:space="preserve"> Limited </w:t>
      </w:r>
      <w:r w:rsidRPr="0064331D">
        <w:t>a donc agrandi sa flotte de machines de construction routière avec deux des dernières SP 500 produites et une machine de traitement de surface de type TCM 95.</w:t>
      </w:r>
    </w:p>
    <w:p w:rsidR="00CA37B6" w:rsidRPr="0064331D" w:rsidRDefault="00CA37B6" w:rsidP="003A0B3C">
      <w:pPr>
        <w:pStyle w:val="Text"/>
        <w:spacing w:line="276" w:lineRule="auto"/>
      </w:pPr>
    </w:p>
    <w:p w:rsidR="00CA37B6" w:rsidRPr="0064331D" w:rsidRDefault="00CA37B6" w:rsidP="003A0B3C">
      <w:pPr>
        <w:pStyle w:val="Text"/>
        <w:spacing w:line="276" w:lineRule="auto"/>
      </w:pPr>
    </w:p>
    <w:p w:rsidR="00CA37B6" w:rsidRPr="0064331D" w:rsidRDefault="00CA37B6" w:rsidP="00C644CA">
      <w:pPr>
        <w:pStyle w:val="HeadlineFotos"/>
      </w:pPr>
      <w:r w:rsidRPr="0064331D">
        <w:rPr>
          <w:caps w:val="0"/>
          <w:szCs w:val="22"/>
        </w:rPr>
        <w:t>Photos </w:t>
      </w:r>
      <w:r w:rsidRPr="0064331D">
        <w:t>:</w:t>
      </w:r>
    </w:p>
    <w:tbl>
      <w:tblPr>
        <w:tblW w:w="0" w:type="auto"/>
        <w:tblCellSpacing w:w="71" w:type="dxa"/>
        <w:tblCellMar>
          <w:left w:w="0" w:type="dxa"/>
          <w:right w:w="0" w:type="dxa"/>
        </w:tblCellMar>
        <w:tblLook w:val="00A0" w:firstRow="1" w:lastRow="0" w:firstColumn="1" w:lastColumn="0" w:noHBand="0" w:noVBand="0"/>
      </w:tblPr>
      <w:tblGrid>
        <w:gridCol w:w="4971"/>
        <w:gridCol w:w="4837"/>
      </w:tblGrid>
      <w:tr w:rsidR="00CA37B6" w:rsidRPr="0064331D" w:rsidTr="00331FF5">
        <w:trPr>
          <w:tblCellSpacing w:w="71" w:type="dxa"/>
        </w:trPr>
        <w:tc>
          <w:tcPr>
            <w:tcW w:w="4758" w:type="dxa"/>
            <w:tcBorders>
              <w:right w:val="single" w:sz="4" w:space="0" w:color="auto"/>
            </w:tcBorders>
          </w:tcPr>
          <w:p w:rsidR="00CA37B6" w:rsidRPr="0064331D" w:rsidRDefault="00CA37B6" w:rsidP="00D166AC">
            <w:pPr>
              <w:rPr>
                <w:szCs w:val="20"/>
              </w:rPr>
            </w:pPr>
          </w:p>
        </w:tc>
        <w:tc>
          <w:tcPr>
            <w:tcW w:w="4624" w:type="dxa"/>
          </w:tcPr>
          <w:p w:rsidR="00CA37B6" w:rsidRPr="0064331D" w:rsidRDefault="00CA37B6" w:rsidP="00331FF5">
            <w:pPr>
              <w:pStyle w:val="Text"/>
              <w:jc w:val="left"/>
              <w:rPr>
                <w:sz w:val="20"/>
                <w:szCs w:val="20"/>
              </w:rPr>
            </w:pPr>
          </w:p>
        </w:tc>
      </w:tr>
      <w:tr w:rsidR="00CA37B6" w:rsidRPr="0064331D" w:rsidTr="00331FF5">
        <w:trPr>
          <w:tblCellSpacing w:w="71" w:type="dxa"/>
        </w:trPr>
        <w:tc>
          <w:tcPr>
            <w:tcW w:w="4758" w:type="dxa"/>
            <w:tcBorders>
              <w:right w:val="single" w:sz="4" w:space="0" w:color="auto"/>
            </w:tcBorders>
          </w:tcPr>
          <w:p w:rsidR="00CA37B6" w:rsidRPr="0064331D" w:rsidRDefault="00EF397D" w:rsidP="001C018D">
            <w:pPr>
              <w:rPr>
                <w:szCs w:val="20"/>
              </w:rPr>
            </w:pPr>
            <w:r>
              <w:rPr>
                <w:noProof/>
                <w:szCs w:val="20"/>
                <w:lang w:val="de-DE" w:eastAsia="de-DE"/>
              </w:rPr>
              <w:drawing>
                <wp:inline distT="0" distB="0" distL="0" distR="0" wp14:anchorId="7210A46A" wp14:editId="03806FE5">
                  <wp:extent cx="2456180" cy="1828800"/>
                  <wp:effectExtent l="19050" t="0" r="127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456180" cy="1828800"/>
                          </a:xfrm>
                          <a:prstGeom prst="rect">
                            <a:avLst/>
                          </a:prstGeom>
                          <a:noFill/>
                          <a:ln w="9525">
                            <a:noFill/>
                            <a:miter lim="800000"/>
                            <a:headEnd/>
                            <a:tailEnd/>
                          </a:ln>
                        </pic:spPr>
                      </pic:pic>
                    </a:graphicData>
                  </a:graphic>
                </wp:inline>
              </w:drawing>
            </w:r>
          </w:p>
          <w:p w:rsidR="00CA37B6" w:rsidRPr="0064331D" w:rsidRDefault="00CA37B6" w:rsidP="001C018D">
            <w:pPr>
              <w:rPr>
                <w:szCs w:val="20"/>
              </w:rPr>
            </w:pPr>
          </w:p>
          <w:p w:rsidR="00CA37B6" w:rsidRPr="0064331D" w:rsidRDefault="00CA37B6" w:rsidP="001C018D">
            <w:pPr>
              <w:rPr>
                <w:szCs w:val="20"/>
              </w:rPr>
            </w:pPr>
          </w:p>
          <w:p w:rsidR="00CA37B6" w:rsidRPr="0064331D" w:rsidRDefault="00CA37B6" w:rsidP="001C018D">
            <w:pPr>
              <w:rPr>
                <w:szCs w:val="20"/>
              </w:rPr>
            </w:pPr>
          </w:p>
          <w:p w:rsidR="00CA37B6" w:rsidRPr="0064331D" w:rsidRDefault="00CA37B6" w:rsidP="001C018D">
            <w:pPr>
              <w:rPr>
                <w:szCs w:val="20"/>
              </w:rPr>
            </w:pPr>
          </w:p>
        </w:tc>
        <w:tc>
          <w:tcPr>
            <w:tcW w:w="4624" w:type="dxa"/>
          </w:tcPr>
          <w:p w:rsidR="00CA37B6" w:rsidRPr="0064331D" w:rsidRDefault="00CA37B6" w:rsidP="001C018D">
            <w:pPr>
              <w:pStyle w:val="berschrift3"/>
            </w:pPr>
            <w:r w:rsidRPr="0064331D">
              <w:t>SP500_01040</w:t>
            </w:r>
          </w:p>
          <w:p w:rsidR="00CA37B6" w:rsidRPr="0064331D" w:rsidRDefault="00CA37B6" w:rsidP="00331FF5">
            <w:pPr>
              <w:pStyle w:val="Text"/>
              <w:jc w:val="left"/>
              <w:rPr>
                <w:sz w:val="20"/>
                <w:szCs w:val="20"/>
              </w:rPr>
            </w:pPr>
            <w:r w:rsidRPr="0064331D">
              <w:rPr>
                <w:sz w:val="20"/>
                <w:szCs w:val="20"/>
              </w:rPr>
              <w:t>La W</w:t>
            </w:r>
            <w:r w:rsidR="00F84716">
              <w:rPr>
                <w:sz w:val="20"/>
                <w:szCs w:val="20"/>
              </w:rPr>
              <w:t>irtgen</w:t>
            </w:r>
            <w:r w:rsidRPr="0064331D">
              <w:rPr>
                <w:sz w:val="20"/>
                <w:szCs w:val="20"/>
              </w:rPr>
              <w:t xml:space="preserve"> SP 500 a posé en deux opérations un revêtement en béton de 7,50</w:t>
            </w:r>
            <w:r w:rsidR="00E377F5">
              <w:rPr>
                <w:sz w:val="20"/>
                <w:szCs w:val="20"/>
              </w:rPr>
              <w:t xml:space="preserve"> </w:t>
            </w:r>
            <w:r w:rsidRPr="0064331D">
              <w:rPr>
                <w:sz w:val="20"/>
                <w:szCs w:val="20"/>
              </w:rPr>
              <w:t xml:space="preserve">m de largeur et de 20 cm d’épaisseur sur 24 km, donnant ainsi naissance à la </w:t>
            </w:r>
            <w:r w:rsidRPr="00034E58">
              <w:rPr>
                <w:sz w:val="20"/>
                <w:szCs w:val="20"/>
              </w:rPr>
              <w:t xml:space="preserve">chaussée </w:t>
            </w:r>
            <w:r w:rsidR="00F4431C" w:rsidRPr="00034E58">
              <w:rPr>
                <w:sz w:val="20"/>
                <w:szCs w:val="20"/>
              </w:rPr>
              <w:t>continue</w:t>
            </w:r>
            <w:r w:rsidR="00F4431C">
              <w:rPr>
                <w:color w:val="FF0000"/>
                <w:sz w:val="20"/>
                <w:szCs w:val="20"/>
              </w:rPr>
              <w:t xml:space="preserve"> </w:t>
            </w:r>
            <w:r w:rsidRPr="0064331D">
              <w:rPr>
                <w:sz w:val="20"/>
                <w:szCs w:val="20"/>
              </w:rPr>
              <w:t xml:space="preserve">en béton la plus longue du Nigeria. </w:t>
            </w:r>
          </w:p>
          <w:p w:rsidR="00CA37B6" w:rsidRPr="0064331D" w:rsidRDefault="00CA37B6" w:rsidP="00331FF5">
            <w:pPr>
              <w:pStyle w:val="Text"/>
              <w:jc w:val="left"/>
              <w:rPr>
                <w:sz w:val="20"/>
                <w:szCs w:val="20"/>
              </w:rPr>
            </w:pPr>
          </w:p>
        </w:tc>
      </w:tr>
      <w:tr w:rsidR="00CA37B6" w:rsidRPr="0064331D" w:rsidTr="00331FF5">
        <w:trPr>
          <w:tblCellSpacing w:w="71" w:type="dxa"/>
        </w:trPr>
        <w:tc>
          <w:tcPr>
            <w:tcW w:w="4758" w:type="dxa"/>
            <w:tcBorders>
              <w:right w:val="single" w:sz="4" w:space="0" w:color="auto"/>
            </w:tcBorders>
          </w:tcPr>
          <w:p w:rsidR="00F84716" w:rsidRPr="0064331D" w:rsidRDefault="00F84716" w:rsidP="00F84716">
            <w:pPr>
              <w:pStyle w:val="HeadlineFotos"/>
            </w:pPr>
            <w:r w:rsidRPr="0064331D">
              <w:rPr>
                <w:caps w:val="0"/>
                <w:szCs w:val="22"/>
              </w:rPr>
              <w:lastRenderedPageBreak/>
              <w:t>Photos </w:t>
            </w:r>
            <w:r w:rsidRPr="0064331D">
              <w:t>:</w:t>
            </w:r>
          </w:p>
          <w:p w:rsidR="00CA37B6" w:rsidRPr="0064331D" w:rsidRDefault="00EF397D" w:rsidP="001C018D">
            <w:pPr>
              <w:rPr>
                <w:szCs w:val="20"/>
              </w:rPr>
            </w:pPr>
            <w:r>
              <w:rPr>
                <w:noProof/>
                <w:szCs w:val="20"/>
                <w:lang w:val="de-DE" w:eastAsia="de-DE"/>
              </w:rPr>
              <w:drawing>
                <wp:inline distT="0" distB="0" distL="0" distR="0" wp14:anchorId="7151618E" wp14:editId="5A187BB8">
                  <wp:extent cx="2456180" cy="1828800"/>
                  <wp:effectExtent l="19050" t="0" r="127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456180" cy="1828800"/>
                          </a:xfrm>
                          <a:prstGeom prst="rect">
                            <a:avLst/>
                          </a:prstGeom>
                          <a:noFill/>
                          <a:ln w="9525">
                            <a:noFill/>
                            <a:miter lim="800000"/>
                            <a:headEnd/>
                            <a:tailEnd/>
                          </a:ln>
                        </pic:spPr>
                      </pic:pic>
                    </a:graphicData>
                  </a:graphic>
                </wp:inline>
              </w:drawing>
            </w:r>
          </w:p>
          <w:p w:rsidR="00CA37B6" w:rsidRPr="0064331D" w:rsidRDefault="00CA37B6" w:rsidP="001C018D">
            <w:pPr>
              <w:rPr>
                <w:szCs w:val="20"/>
              </w:rPr>
            </w:pPr>
          </w:p>
          <w:p w:rsidR="00CA37B6" w:rsidRPr="0064331D" w:rsidRDefault="00CA37B6" w:rsidP="001C018D">
            <w:pPr>
              <w:rPr>
                <w:szCs w:val="20"/>
              </w:rPr>
            </w:pPr>
          </w:p>
        </w:tc>
        <w:tc>
          <w:tcPr>
            <w:tcW w:w="4624" w:type="dxa"/>
          </w:tcPr>
          <w:p w:rsidR="00F84716" w:rsidRDefault="00F84716" w:rsidP="001C018D">
            <w:pPr>
              <w:pStyle w:val="berschrift3"/>
            </w:pPr>
          </w:p>
          <w:p w:rsidR="00F84716" w:rsidRDefault="00F84716" w:rsidP="001C018D">
            <w:pPr>
              <w:pStyle w:val="berschrift3"/>
            </w:pPr>
          </w:p>
          <w:p w:rsidR="00CA37B6" w:rsidRPr="0064331D" w:rsidRDefault="00CA37B6" w:rsidP="001C018D">
            <w:pPr>
              <w:pStyle w:val="berschrift3"/>
            </w:pPr>
            <w:r w:rsidRPr="0064331D">
              <w:t>SP500_01043</w:t>
            </w:r>
          </w:p>
          <w:p w:rsidR="00CA37B6" w:rsidRPr="0064331D" w:rsidRDefault="00CA37B6" w:rsidP="00331FF5">
            <w:pPr>
              <w:pStyle w:val="Text"/>
              <w:jc w:val="left"/>
              <w:rPr>
                <w:sz w:val="20"/>
                <w:szCs w:val="20"/>
              </w:rPr>
            </w:pPr>
            <w:r w:rsidRPr="0064331D">
              <w:rPr>
                <w:sz w:val="20"/>
                <w:szCs w:val="20"/>
              </w:rPr>
              <w:t>Approvisionnement en matériau : le camion déverse le béton directement devant la machine, la lame de répartition de la machine à coffrage glissant W</w:t>
            </w:r>
            <w:r w:rsidR="00F84716">
              <w:rPr>
                <w:sz w:val="20"/>
                <w:szCs w:val="20"/>
              </w:rPr>
              <w:t xml:space="preserve">irtgen </w:t>
            </w:r>
            <w:r w:rsidRPr="0064331D">
              <w:rPr>
                <w:sz w:val="20"/>
                <w:szCs w:val="20"/>
              </w:rPr>
              <w:t>assur</w:t>
            </w:r>
            <w:r>
              <w:rPr>
                <w:sz w:val="20"/>
                <w:szCs w:val="20"/>
              </w:rPr>
              <w:t>ant</w:t>
            </w:r>
            <w:r w:rsidRPr="0064331D">
              <w:rPr>
                <w:sz w:val="20"/>
                <w:szCs w:val="20"/>
              </w:rPr>
              <w:t xml:space="preserve"> </w:t>
            </w:r>
            <w:r w:rsidRPr="00034E58">
              <w:rPr>
                <w:sz w:val="20"/>
                <w:szCs w:val="20"/>
              </w:rPr>
              <w:t xml:space="preserve">une </w:t>
            </w:r>
            <w:r w:rsidR="005F5A79" w:rsidRPr="00034E58">
              <w:rPr>
                <w:sz w:val="20"/>
                <w:szCs w:val="20"/>
              </w:rPr>
              <w:t xml:space="preserve">application </w:t>
            </w:r>
            <w:r w:rsidRPr="0064331D">
              <w:rPr>
                <w:sz w:val="20"/>
                <w:szCs w:val="20"/>
              </w:rPr>
              <w:t xml:space="preserve">homogène du béton sur toute la largeur de travail entre les trains de roulement.  </w:t>
            </w:r>
          </w:p>
          <w:p w:rsidR="00CA37B6" w:rsidRPr="0064331D" w:rsidRDefault="00CA37B6" w:rsidP="00331FF5">
            <w:pPr>
              <w:pStyle w:val="Text"/>
              <w:jc w:val="left"/>
              <w:rPr>
                <w:sz w:val="20"/>
                <w:szCs w:val="20"/>
              </w:rPr>
            </w:pPr>
          </w:p>
        </w:tc>
      </w:tr>
      <w:tr w:rsidR="00CA37B6" w:rsidRPr="0064331D" w:rsidTr="00331FF5">
        <w:trPr>
          <w:tblCellSpacing w:w="71" w:type="dxa"/>
        </w:trPr>
        <w:tc>
          <w:tcPr>
            <w:tcW w:w="4758" w:type="dxa"/>
            <w:tcBorders>
              <w:right w:val="single" w:sz="4" w:space="0" w:color="auto"/>
            </w:tcBorders>
          </w:tcPr>
          <w:p w:rsidR="00CA37B6" w:rsidRPr="0064331D" w:rsidRDefault="00EF397D" w:rsidP="00FF7690">
            <w:pPr>
              <w:rPr>
                <w:szCs w:val="20"/>
              </w:rPr>
            </w:pPr>
            <w:r>
              <w:rPr>
                <w:noProof/>
                <w:szCs w:val="20"/>
                <w:lang w:val="de-DE" w:eastAsia="de-DE"/>
              </w:rPr>
              <w:drawing>
                <wp:inline distT="0" distB="0" distL="0" distR="0" wp14:anchorId="784F3AB3" wp14:editId="128BE4B5">
                  <wp:extent cx="2456180" cy="1828800"/>
                  <wp:effectExtent l="19050" t="0" r="127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456180" cy="1828800"/>
                          </a:xfrm>
                          <a:prstGeom prst="rect">
                            <a:avLst/>
                          </a:prstGeom>
                          <a:noFill/>
                          <a:ln w="9525">
                            <a:noFill/>
                            <a:miter lim="800000"/>
                            <a:headEnd/>
                            <a:tailEnd/>
                          </a:ln>
                        </pic:spPr>
                      </pic:pic>
                    </a:graphicData>
                  </a:graphic>
                </wp:inline>
              </w:drawing>
            </w:r>
          </w:p>
          <w:p w:rsidR="00CA37B6" w:rsidRPr="0064331D" w:rsidRDefault="00CA37B6" w:rsidP="00FF7690">
            <w:pPr>
              <w:rPr>
                <w:szCs w:val="20"/>
              </w:rPr>
            </w:pPr>
          </w:p>
        </w:tc>
        <w:tc>
          <w:tcPr>
            <w:tcW w:w="4624" w:type="dxa"/>
          </w:tcPr>
          <w:p w:rsidR="00CA37B6" w:rsidRPr="0064331D" w:rsidRDefault="00CA37B6" w:rsidP="00FF7690">
            <w:pPr>
              <w:pStyle w:val="berschrift3"/>
            </w:pPr>
            <w:r w:rsidRPr="0064331D">
              <w:t>SP500_01044</w:t>
            </w:r>
          </w:p>
          <w:p w:rsidR="00CA37B6" w:rsidRPr="0064331D" w:rsidRDefault="00CA37B6" w:rsidP="00F84716">
            <w:pPr>
              <w:pStyle w:val="Text"/>
              <w:jc w:val="left"/>
              <w:rPr>
                <w:sz w:val="20"/>
                <w:szCs w:val="20"/>
              </w:rPr>
            </w:pPr>
            <w:r w:rsidRPr="0064331D">
              <w:rPr>
                <w:sz w:val="20"/>
                <w:szCs w:val="20"/>
              </w:rPr>
              <w:t>La taloche</w:t>
            </w:r>
            <w:r w:rsidRPr="001C01AD">
              <w:rPr>
                <w:i/>
                <w:color w:val="FF0000"/>
                <w:sz w:val="20"/>
                <w:szCs w:val="20"/>
              </w:rPr>
              <w:t xml:space="preserve"> </w:t>
            </w:r>
            <w:r w:rsidRPr="0064331D">
              <w:rPr>
                <w:sz w:val="20"/>
                <w:szCs w:val="20"/>
              </w:rPr>
              <w:t>et la poutre correctrice de la W</w:t>
            </w:r>
            <w:r w:rsidR="00F84716">
              <w:rPr>
                <w:sz w:val="20"/>
                <w:szCs w:val="20"/>
              </w:rPr>
              <w:t>irtgen</w:t>
            </w:r>
            <w:r w:rsidRPr="0064331D">
              <w:rPr>
                <w:sz w:val="20"/>
                <w:szCs w:val="20"/>
              </w:rPr>
              <w:t xml:space="preserve"> SP 500 se chargent de la finition et de la planéité de la surface de la couche de béton.</w:t>
            </w:r>
          </w:p>
        </w:tc>
      </w:tr>
    </w:tbl>
    <w:p w:rsidR="00CA37B6" w:rsidRPr="0064331D" w:rsidRDefault="00CA37B6" w:rsidP="00C03396">
      <w:pPr>
        <w:pStyle w:val="Text"/>
        <w:rPr>
          <w:i/>
          <w:u w:val="single"/>
        </w:rPr>
      </w:pPr>
    </w:p>
    <w:tbl>
      <w:tblPr>
        <w:tblW w:w="0" w:type="auto"/>
        <w:tblCellSpacing w:w="71" w:type="dxa"/>
        <w:tblCellMar>
          <w:left w:w="0" w:type="dxa"/>
          <w:right w:w="0" w:type="dxa"/>
        </w:tblCellMar>
        <w:tblLook w:val="00A0" w:firstRow="1" w:lastRow="0" w:firstColumn="1" w:lastColumn="0" w:noHBand="0" w:noVBand="0"/>
      </w:tblPr>
      <w:tblGrid>
        <w:gridCol w:w="4906"/>
        <w:gridCol w:w="4618"/>
      </w:tblGrid>
      <w:tr w:rsidR="00CA37B6" w:rsidRPr="0064331D" w:rsidTr="00246B39">
        <w:trPr>
          <w:tblCellSpacing w:w="71" w:type="dxa"/>
        </w:trPr>
        <w:tc>
          <w:tcPr>
            <w:tcW w:w="4693" w:type="dxa"/>
            <w:tcBorders>
              <w:right w:val="single" w:sz="4" w:space="0" w:color="auto"/>
            </w:tcBorders>
          </w:tcPr>
          <w:p w:rsidR="00CA37B6" w:rsidRPr="0064331D" w:rsidRDefault="00EF397D" w:rsidP="00390BC3">
            <w:pPr>
              <w:rPr>
                <w:szCs w:val="20"/>
              </w:rPr>
            </w:pPr>
            <w:r>
              <w:rPr>
                <w:noProof/>
                <w:szCs w:val="20"/>
                <w:lang w:val="de-DE" w:eastAsia="de-DE"/>
              </w:rPr>
              <w:drawing>
                <wp:inline distT="0" distB="0" distL="0" distR="0" wp14:anchorId="75200F27" wp14:editId="69F23052">
                  <wp:extent cx="2456180" cy="1828800"/>
                  <wp:effectExtent l="19050" t="0" r="1270" b="0"/>
                  <wp:docPr id="3"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456180" cy="1828800"/>
                          </a:xfrm>
                          <a:prstGeom prst="rect">
                            <a:avLst/>
                          </a:prstGeom>
                          <a:noFill/>
                          <a:ln w="9525">
                            <a:noFill/>
                            <a:miter lim="800000"/>
                            <a:headEnd/>
                            <a:tailEnd/>
                          </a:ln>
                        </pic:spPr>
                      </pic:pic>
                    </a:graphicData>
                  </a:graphic>
                </wp:inline>
              </w:drawing>
            </w:r>
          </w:p>
          <w:p w:rsidR="00CA37B6" w:rsidRPr="0064331D" w:rsidRDefault="00CA37B6" w:rsidP="00390BC3">
            <w:pPr>
              <w:rPr>
                <w:szCs w:val="20"/>
              </w:rPr>
            </w:pPr>
          </w:p>
          <w:p w:rsidR="00CA37B6" w:rsidRPr="0064331D" w:rsidRDefault="00CA37B6" w:rsidP="00390BC3">
            <w:pPr>
              <w:rPr>
                <w:szCs w:val="20"/>
              </w:rPr>
            </w:pPr>
          </w:p>
        </w:tc>
        <w:tc>
          <w:tcPr>
            <w:tcW w:w="4405" w:type="dxa"/>
          </w:tcPr>
          <w:p w:rsidR="00CA37B6" w:rsidRPr="00246B39" w:rsidRDefault="00CA37B6" w:rsidP="00390BC3">
            <w:pPr>
              <w:pStyle w:val="berschrift3"/>
            </w:pPr>
            <w:r w:rsidRPr="00246B39">
              <w:t>Wirtgen 2500SM_00383</w:t>
            </w:r>
          </w:p>
          <w:p w:rsidR="00CA37B6" w:rsidRPr="00246B39" w:rsidRDefault="00CA37B6" w:rsidP="00331FF5">
            <w:pPr>
              <w:pStyle w:val="Text"/>
              <w:jc w:val="left"/>
              <w:rPr>
                <w:sz w:val="20"/>
                <w:szCs w:val="20"/>
              </w:rPr>
            </w:pPr>
            <w:r w:rsidRPr="00246B39">
              <w:rPr>
                <w:sz w:val="20"/>
                <w:szCs w:val="20"/>
              </w:rPr>
              <w:t>Dans l’exploitation d’</w:t>
            </w:r>
            <w:proofErr w:type="spellStart"/>
            <w:r w:rsidRPr="00246B39">
              <w:rPr>
                <w:sz w:val="20"/>
                <w:szCs w:val="20"/>
              </w:rPr>
              <w:t>Ibese</w:t>
            </w:r>
            <w:proofErr w:type="spellEnd"/>
            <w:r w:rsidRPr="00246B39">
              <w:rPr>
                <w:sz w:val="20"/>
                <w:szCs w:val="20"/>
              </w:rPr>
              <w:t xml:space="preserve">, </w:t>
            </w:r>
            <w:r w:rsidR="005E1DED" w:rsidRPr="00246B39">
              <w:rPr>
                <w:sz w:val="20"/>
                <w:szCs w:val="20"/>
              </w:rPr>
              <w:t>même dans d</w:t>
            </w:r>
            <w:r w:rsidRPr="00246B39">
              <w:rPr>
                <w:sz w:val="20"/>
                <w:szCs w:val="20"/>
              </w:rPr>
              <w:t xml:space="preserve">es conditions </w:t>
            </w:r>
            <w:r w:rsidR="001C01AD" w:rsidRPr="00246B39">
              <w:rPr>
                <w:sz w:val="20"/>
                <w:szCs w:val="20"/>
              </w:rPr>
              <w:t>difficiles,</w:t>
            </w:r>
            <w:r w:rsidRPr="00246B39">
              <w:rPr>
                <w:sz w:val="20"/>
                <w:szCs w:val="20"/>
              </w:rPr>
              <w:t xml:space="preserve"> le WIRTGEN Surface Miner 2500 SM d’une puissance de 1 065 </w:t>
            </w:r>
            <w:proofErr w:type="spellStart"/>
            <w:r w:rsidRPr="00246B39">
              <w:rPr>
                <w:sz w:val="20"/>
                <w:szCs w:val="20"/>
              </w:rPr>
              <w:t>ch</w:t>
            </w:r>
            <w:proofErr w:type="spellEnd"/>
            <w:r w:rsidRPr="00246B39">
              <w:rPr>
                <w:sz w:val="20"/>
                <w:szCs w:val="20"/>
              </w:rPr>
              <w:t xml:space="preserve"> charge le matériau taillé directement sur le tombereau par sa bande de déversement. Le tombereau emporte ensuite immédiatement le matériau pour </w:t>
            </w:r>
            <w:r w:rsidR="001C01AD" w:rsidRPr="00246B39">
              <w:rPr>
                <w:sz w:val="20"/>
                <w:szCs w:val="20"/>
              </w:rPr>
              <w:t xml:space="preserve">un </w:t>
            </w:r>
            <w:r w:rsidRPr="00246B39">
              <w:rPr>
                <w:sz w:val="20"/>
                <w:szCs w:val="20"/>
              </w:rPr>
              <w:t>traitement ultérieur.</w:t>
            </w:r>
          </w:p>
          <w:p w:rsidR="00BD3C45" w:rsidRPr="002E3906" w:rsidRDefault="00BD3C45" w:rsidP="00331FF5">
            <w:pPr>
              <w:pStyle w:val="Text"/>
              <w:jc w:val="left"/>
              <w:rPr>
                <w:b/>
                <w:sz w:val="20"/>
                <w:szCs w:val="20"/>
                <w:highlight w:val="green"/>
                <w:u w:val="single"/>
              </w:rPr>
            </w:pPr>
          </w:p>
        </w:tc>
      </w:tr>
    </w:tbl>
    <w:p w:rsidR="00CA37B6" w:rsidRPr="0064331D" w:rsidRDefault="00CA37B6" w:rsidP="00C03396">
      <w:pPr>
        <w:pStyle w:val="Text"/>
        <w:rPr>
          <w:i/>
          <w:u w:val="single"/>
        </w:rPr>
      </w:pPr>
    </w:p>
    <w:p w:rsidR="005A1614" w:rsidRPr="004527D9" w:rsidRDefault="005A1614" w:rsidP="005A1614">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B17BF2" w:rsidRPr="002411A4" w:rsidRDefault="00B17BF2" w:rsidP="00B17BF2">
      <w:pPr>
        <w:pStyle w:val="Text"/>
      </w:pPr>
    </w:p>
    <w:p w:rsidR="00F84716" w:rsidRDefault="00F84716">
      <w:r>
        <w:rPr>
          <w:b/>
          <w:caps/>
        </w:rPr>
        <w:br w:type="page"/>
      </w:r>
      <w:bookmarkStart w:id="0" w:name="_GoBack"/>
      <w:bookmarkEnd w:id="0"/>
    </w:p>
    <w:tbl>
      <w:tblPr>
        <w:tblStyle w:val="Basic"/>
        <w:tblW w:w="0" w:type="auto"/>
        <w:tblLook w:val="04A0" w:firstRow="1" w:lastRow="0" w:firstColumn="1" w:lastColumn="0" w:noHBand="0" w:noVBand="1"/>
      </w:tblPr>
      <w:tblGrid>
        <w:gridCol w:w="4784"/>
        <w:gridCol w:w="4740"/>
      </w:tblGrid>
      <w:tr w:rsidR="00B17BF2" w:rsidTr="00BC497B">
        <w:tc>
          <w:tcPr>
            <w:tcW w:w="4784" w:type="dxa"/>
            <w:tcBorders>
              <w:right w:val="single" w:sz="48" w:space="0" w:color="FFFFFF" w:themeColor="background1"/>
            </w:tcBorders>
          </w:tcPr>
          <w:p w:rsidR="00B17BF2" w:rsidRPr="002411A4" w:rsidRDefault="00B17BF2" w:rsidP="00BC497B">
            <w:pPr>
              <w:pStyle w:val="HeadlineKontakte"/>
              <w:rPr>
                <w:rFonts w:eastAsia="Calibri"/>
                <w:caps w:val="0"/>
                <w:szCs w:val="22"/>
              </w:rPr>
            </w:pPr>
          </w:p>
          <w:p w:rsidR="005A1614" w:rsidRPr="00BA6793" w:rsidRDefault="005A1614" w:rsidP="005A1614">
            <w:pPr>
              <w:pStyle w:val="HeadlineKontakte"/>
              <w:rPr>
                <w:rFonts w:eastAsia="Calibri"/>
                <w:caps w:val="0"/>
                <w:szCs w:val="22"/>
              </w:rPr>
            </w:pPr>
            <w:r w:rsidRPr="00BA6793">
              <w:rPr>
                <w:rFonts w:cs="Arial"/>
              </w:rPr>
              <w:t>Vous obtiendrez de plus amples</w:t>
            </w:r>
          </w:p>
          <w:p w:rsidR="005A1614" w:rsidRPr="00A100EA" w:rsidRDefault="005A1614" w:rsidP="005A1614">
            <w:pPr>
              <w:pStyle w:val="HeadlineKontakte"/>
            </w:pPr>
            <w:r w:rsidRPr="00A100EA">
              <w:rPr>
                <w:rFonts w:cs="Arial"/>
              </w:rPr>
              <w:t xml:space="preserve">informations auprès de </w:t>
            </w:r>
            <w:r w:rsidRPr="00A100EA">
              <w:t>:</w:t>
            </w:r>
          </w:p>
          <w:p w:rsidR="00B17BF2" w:rsidRPr="002411A4" w:rsidRDefault="00B17BF2" w:rsidP="00BC497B">
            <w:pPr>
              <w:pStyle w:val="Text"/>
            </w:pPr>
            <w:r w:rsidRPr="002411A4">
              <w:t>WIRTGEN GmbH</w:t>
            </w:r>
          </w:p>
          <w:p w:rsidR="00B17BF2" w:rsidRPr="002411A4" w:rsidRDefault="00B17BF2" w:rsidP="00BC497B">
            <w:pPr>
              <w:pStyle w:val="Text"/>
            </w:pPr>
            <w:proofErr w:type="spellStart"/>
            <w:r w:rsidRPr="002411A4">
              <w:t>Corporate</w:t>
            </w:r>
            <w:proofErr w:type="spellEnd"/>
            <w:r w:rsidRPr="002411A4">
              <w:t xml:space="preserve"> Communications</w:t>
            </w:r>
          </w:p>
          <w:p w:rsidR="00B17BF2" w:rsidRPr="002411A4" w:rsidRDefault="00B17BF2" w:rsidP="00BC497B">
            <w:pPr>
              <w:pStyle w:val="Text"/>
            </w:pPr>
            <w:r w:rsidRPr="002411A4">
              <w:t>Michaela Adams, Mario Linnemann</w:t>
            </w:r>
          </w:p>
          <w:p w:rsidR="00B17BF2" w:rsidRPr="002411A4" w:rsidRDefault="00B17BF2" w:rsidP="00BC497B">
            <w:pPr>
              <w:pStyle w:val="Text"/>
            </w:pPr>
            <w:r w:rsidRPr="002411A4">
              <w:t>Reinhard-Wirtgen-</w:t>
            </w:r>
            <w:proofErr w:type="spellStart"/>
            <w:r w:rsidRPr="002411A4">
              <w:t>Straße</w:t>
            </w:r>
            <w:proofErr w:type="spellEnd"/>
            <w:r w:rsidRPr="002411A4">
              <w:t xml:space="preserve"> 2</w:t>
            </w:r>
          </w:p>
          <w:p w:rsidR="00B17BF2" w:rsidRPr="002411A4" w:rsidRDefault="00B17BF2" w:rsidP="00BC497B">
            <w:pPr>
              <w:pStyle w:val="Text"/>
            </w:pPr>
            <w:r w:rsidRPr="002411A4">
              <w:t xml:space="preserve">53578 </w:t>
            </w:r>
            <w:proofErr w:type="spellStart"/>
            <w:r w:rsidRPr="002411A4">
              <w:t>Windhagen</w:t>
            </w:r>
            <w:proofErr w:type="spellEnd"/>
          </w:p>
          <w:p w:rsidR="005A1614" w:rsidRPr="00B925BA" w:rsidRDefault="005A1614" w:rsidP="005A1614">
            <w:pPr>
              <w:pStyle w:val="Text"/>
            </w:pPr>
            <w:r w:rsidRPr="00B925BA">
              <w:t>Allemagne</w:t>
            </w:r>
          </w:p>
          <w:p w:rsidR="005A1614" w:rsidRPr="00B925BA" w:rsidRDefault="005A1614" w:rsidP="005A1614">
            <w:pPr>
              <w:pStyle w:val="Text"/>
            </w:pPr>
          </w:p>
          <w:p w:rsidR="005A1614" w:rsidRPr="00B925BA" w:rsidRDefault="005A1614" w:rsidP="005A1614">
            <w:pPr>
              <w:pStyle w:val="Text"/>
            </w:pPr>
            <w:r w:rsidRPr="00B925BA">
              <w:t>Téléphone : +49 (0) 2645 131 – 0</w:t>
            </w:r>
          </w:p>
          <w:p w:rsidR="005A1614" w:rsidRPr="00B925BA" w:rsidRDefault="005A1614" w:rsidP="005A1614">
            <w:pPr>
              <w:pStyle w:val="Text"/>
            </w:pPr>
            <w:r>
              <w:t>F</w:t>
            </w:r>
            <w:r w:rsidRPr="00B925BA">
              <w:t xml:space="preserve">ax:      </w:t>
            </w:r>
            <w:r>
              <w:t xml:space="preserve">      </w:t>
            </w:r>
            <w:r w:rsidRPr="00B925BA">
              <w:t>+49 (0) 2645 131 – 499</w:t>
            </w:r>
          </w:p>
          <w:p w:rsidR="005A1614" w:rsidRPr="00B925BA" w:rsidRDefault="005A1614" w:rsidP="005A1614">
            <w:pPr>
              <w:pStyle w:val="Text"/>
            </w:pPr>
            <w:r>
              <w:t>E</w:t>
            </w:r>
            <w:r w:rsidRPr="00B925BA">
              <w:t>-mail:        presse@wirtgen.com</w:t>
            </w:r>
          </w:p>
          <w:p w:rsidR="00B17BF2" w:rsidRPr="00D166AC" w:rsidRDefault="00B17BF2" w:rsidP="00BC497B">
            <w:pPr>
              <w:pStyle w:val="Text"/>
            </w:pPr>
            <w:r>
              <w:t>www.wirtgen.com</w:t>
            </w:r>
          </w:p>
        </w:tc>
        <w:tc>
          <w:tcPr>
            <w:tcW w:w="4740" w:type="dxa"/>
            <w:tcBorders>
              <w:left w:val="single" w:sz="48" w:space="0" w:color="FFFFFF" w:themeColor="background1"/>
            </w:tcBorders>
          </w:tcPr>
          <w:p w:rsidR="00B17BF2" w:rsidRPr="0034191A" w:rsidRDefault="00B17BF2" w:rsidP="00BC497B">
            <w:pPr>
              <w:pStyle w:val="Text"/>
            </w:pPr>
          </w:p>
        </w:tc>
      </w:tr>
    </w:tbl>
    <w:p w:rsidR="00CA37B6" w:rsidRPr="0064331D" w:rsidRDefault="00CA37B6" w:rsidP="00D166AC">
      <w:pPr>
        <w:pStyle w:val="Text"/>
      </w:pPr>
    </w:p>
    <w:sectPr w:rsidR="00CA37B6" w:rsidRPr="0064331D"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8DE" w:rsidRDefault="00F618DE" w:rsidP="00E55534">
      <w:r>
        <w:separator/>
      </w:r>
    </w:p>
  </w:endnote>
  <w:endnote w:type="continuationSeparator" w:id="0">
    <w:p w:rsidR="00F618DE" w:rsidRDefault="00F618D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CA37B6" w:rsidRPr="00331FF5" w:rsidTr="00331FF5">
      <w:trPr>
        <w:trHeight w:hRule="exact" w:val="227"/>
      </w:trPr>
      <w:tc>
        <w:tcPr>
          <w:tcW w:w="8364" w:type="dxa"/>
        </w:tcPr>
        <w:p w:rsidR="00CA37B6" w:rsidRPr="00331FF5" w:rsidRDefault="00CA37B6" w:rsidP="00331FF5">
          <w:pPr>
            <w:pStyle w:val="Kolumnentitel"/>
            <w:rPr>
              <w:szCs w:val="20"/>
            </w:rPr>
          </w:pPr>
          <w:r w:rsidRPr="00331FF5">
            <w:rPr>
              <w:rStyle w:val="Platzhaltertext"/>
              <w:szCs w:val="20"/>
            </w:rPr>
            <w:t xml:space="preserve">     </w:t>
          </w:r>
        </w:p>
      </w:tc>
      <w:tc>
        <w:tcPr>
          <w:tcW w:w="1160" w:type="dxa"/>
        </w:tcPr>
        <w:p w:rsidR="00CA37B6" w:rsidRPr="00331FF5" w:rsidRDefault="00EE56C4" w:rsidP="00331FF5">
          <w:pPr>
            <w:pStyle w:val="Seitenzahlen"/>
            <w:rPr>
              <w:szCs w:val="20"/>
            </w:rPr>
          </w:pPr>
          <w:r w:rsidRPr="00331FF5">
            <w:rPr>
              <w:szCs w:val="20"/>
            </w:rPr>
            <w:fldChar w:fldCharType="begin"/>
          </w:r>
          <w:r w:rsidR="00CA37B6" w:rsidRPr="00331FF5">
            <w:rPr>
              <w:szCs w:val="20"/>
            </w:rPr>
            <w:instrText xml:space="preserve"> PAGE \# "00"</w:instrText>
          </w:r>
          <w:r w:rsidRPr="00331FF5">
            <w:rPr>
              <w:szCs w:val="20"/>
            </w:rPr>
            <w:fldChar w:fldCharType="separate"/>
          </w:r>
          <w:r w:rsidR="00F84716">
            <w:rPr>
              <w:noProof/>
              <w:szCs w:val="20"/>
            </w:rPr>
            <w:t>04</w:t>
          </w:r>
          <w:r w:rsidRPr="00331FF5">
            <w:rPr>
              <w:szCs w:val="20"/>
            </w:rPr>
            <w:fldChar w:fldCharType="end"/>
          </w:r>
        </w:p>
      </w:tc>
    </w:tr>
  </w:tbl>
  <w:p w:rsidR="00CA37B6" w:rsidRDefault="00DD7A26">
    <w:pPr>
      <w:pStyle w:val="Fuzeile"/>
    </w:pPr>
    <w:r>
      <w:rPr>
        <w:noProof/>
        <w:lang w:val="de-DE" w:eastAsia="de-DE"/>
      </w:rPr>
      <mc:AlternateContent>
        <mc:Choice Requires="wps">
          <w:drawing>
            <wp:anchor distT="0" distB="0" distL="114300" distR="114300" simplePos="0" relativeHeight="251661312" behindDoc="0" locked="0" layoutInCell="1" allowOverlap="1" wp14:anchorId="2F7272BB" wp14:editId="54A82BCD">
              <wp:simplePos x="0" y="0"/>
              <wp:positionH relativeFrom="page">
                <wp:posOffset>756285</wp:posOffset>
              </wp:positionH>
              <wp:positionV relativeFrom="page">
                <wp:posOffset>10189210</wp:posOffset>
              </wp:positionV>
              <wp:extent cx="6047740" cy="17780"/>
              <wp:effectExtent l="3810" t="0" r="0" b="3810"/>
              <wp:wrapNone/>
              <wp:docPr id="11"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7BE498"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85EgQIAAP4EAAAOAAAAZHJzL2Uyb0RvYy54bWysVFFv0zAQfkfiP1h+7xKHdGmipdO2UoQ0&#10;YGLwA1zbaawltrHdpgPx3zk7bWmBB4Tog+vLnc/fd9+dr653fYe2wjqpVY3JRYqRUExzqdY1/vxp&#10;OZlh5DxVnHZaiRo/C4ev5y9fXA2mEpludceFRZBEuWowNW69N1WSONaKnroLbYQCZ6NtTz2Ydp1w&#10;SwfI3ndJlqaXyaAtN1Yz4Rx8XYxOPI/5m0Yw/6FpnPCoqzFg83G1cV2FNZlf0WptqWkl28Og/4Ci&#10;p1LBpcdUC+op2lj5W6peMqudbvwF032im0YyETkAG5L+wuaxpUZELlAcZ45lcv8vLXu/fbBIctCO&#10;YKRoDxp9FKz1gj0hkoX6DMZVEPZoHmxg6My9Zk8OKX3XUrUWN9bqoRWUAyoS4pOzA8FwcBSthnea&#10;Q3a68TqWatfYPiSEIqBdVOT5qIjYecTg42WaF0UOwjHwkaKYRcUSWh0OG+v8G6F7FDY1tiB4TE63&#10;984HMLQ6hETwupN8KbsuGna9uuss2lJojpxMX00XET9wPA3rVAhWOhwbM45fACPcEXwBbRT7W0my&#10;PL3NysnyclZM8mU+nZRFOpukpLwtgUyZL5bfA0CSV63kXKh7qcSh8Uj+d8LuR2Bsmdh6aKhxNs3T&#10;NJI/g+9OWabx9yeWvfQwiJ3sazw7BtEqCPtaceBNK09lN+6Tc/yxzFCEw38sS2yDoPzYQSvNn6EL&#10;rAaVQE94MmDTavsVowHGr8buy4ZagVH3VkEnlSQPsvto5NMiA8OeelanHqoYpKox8xaj0bjz45Rv&#10;jJXrFu4isTRK30D/NTL2RujNEde+a2HIIof9gxCm+NSOUT+frfkPAA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JCfORIECAAD+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CA37B6" w:rsidRPr="00331FF5" w:rsidTr="00331FF5">
      <w:tc>
        <w:tcPr>
          <w:tcW w:w="9664" w:type="dxa"/>
        </w:tcPr>
        <w:p w:rsidR="00CA37B6" w:rsidRPr="00331FF5" w:rsidRDefault="00CA37B6" w:rsidP="00331FF5">
          <w:pPr>
            <w:pStyle w:val="Fuzeile"/>
            <w:spacing w:before="96" w:after="96"/>
            <w:rPr>
              <w:szCs w:val="20"/>
            </w:rPr>
          </w:pPr>
          <w:r w:rsidRPr="0064331D">
            <w:rPr>
              <w:rStyle w:val="Hervorhebung"/>
              <w:szCs w:val="20"/>
              <w:lang w:val="de-DE"/>
            </w:rPr>
            <w:t>WIRTGEN GmbH</w:t>
          </w:r>
          <w:r w:rsidRPr="0064331D">
            <w:rPr>
              <w:szCs w:val="20"/>
              <w:lang w:val="de-DE"/>
            </w:rPr>
            <w:t xml:space="preserve"> · Reinhard-Wirtgen-Str. </w:t>
          </w:r>
          <w:r w:rsidRPr="00331FF5">
            <w:rPr>
              <w:szCs w:val="20"/>
            </w:rPr>
            <w:t xml:space="preserve">2 · D-53578 </w:t>
          </w:r>
          <w:proofErr w:type="spellStart"/>
          <w:r w:rsidRPr="00331FF5">
            <w:rPr>
              <w:szCs w:val="20"/>
            </w:rPr>
            <w:t>Windhagen</w:t>
          </w:r>
          <w:proofErr w:type="spellEnd"/>
          <w:r w:rsidRPr="00331FF5">
            <w:rPr>
              <w:szCs w:val="20"/>
            </w:rPr>
            <w:t xml:space="preserve"> · T: +49 26 45 / 131 0</w:t>
          </w:r>
        </w:p>
      </w:tc>
    </w:tr>
  </w:tbl>
  <w:p w:rsidR="00CA37B6" w:rsidRDefault="00DD7A26">
    <w:pPr>
      <w:pStyle w:val="Fuzeile"/>
    </w:pPr>
    <w:r>
      <w:rPr>
        <w:noProof/>
        <w:lang w:val="de-DE" w:eastAsia="de-DE"/>
      </w:rPr>
      <mc:AlternateContent>
        <mc:Choice Requires="wps">
          <w:drawing>
            <wp:anchor distT="0" distB="0" distL="114300" distR="114300" simplePos="0" relativeHeight="251657216" behindDoc="0" locked="0" layoutInCell="1" allowOverlap="1" wp14:anchorId="0B042369" wp14:editId="38CF2AD1">
              <wp:simplePos x="0" y="0"/>
              <wp:positionH relativeFrom="page">
                <wp:posOffset>756285</wp:posOffset>
              </wp:positionH>
              <wp:positionV relativeFrom="page">
                <wp:posOffset>10081260</wp:posOffset>
              </wp:positionV>
              <wp:extent cx="6047740" cy="17780"/>
              <wp:effectExtent l="3810" t="3810" r="0" b="0"/>
              <wp:wrapNone/>
              <wp:docPr id="9"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B1F6EF"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Un/gAIAAPw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1bjE&#10;SJEOJPrIaes5fUSzUJ3euAqCHsy9DfycudP00SGlly1RW35jre5bThhgykJ88uxAMBwcRZv+nWaQ&#10;nOy8joU6NLYLCaEE6BD1eDrrwQ8eUfg4S/OiyEE2Cr6sKOZRr4RUp8PGOv+G6w6FTY0tyB2Tk/2d&#10;8wEMqU4hEbyWgq2FlNGw281SWrQn0Bp5Nn01XUX8wPEyTKoQrHQ4NmQcvgBGuCP4Atoo9bcym+Tp&#10;7aQcrWfzYpSv8+moLNL5KM3K2xLIlPlq/T0AzPKqFYxxdScUP7Vdlv+drMcBGBomNh7qazyZ5mka&#10;yT+D7y5ZpvH3J5ad8DCGUnQ1np+DSBWEfa0Y8CaVJ0IO++Q5/lhmKMLpP5YltkFQfuigjWZP0AVW&#10;g0qgJzwYsGm1/YpRD8NXY/dlRyzHSL5V0ElllgfZfTTyaTEBw156NpceoiikqjH1FqPBWPphxnfG&#10;im0Ld2WxNErfQP81IvZG6M0B17FrYcQih+NzEGb40o5RPx+txQ8AAAD//wMAUEsDBBQABgAIAAAA&#10;IQAo648l5AAAAA4BAAAPAAAAZHJzL2Rvd25yZXYueG1sTI/BTsMwEETvSPyDtUjcqJ2KtGmIUyGk&#10;IkUIKQQOcHNjk6TE6yh22/D3bE70trM7mn2TbSfbs5MZfedQQrQQwAzWTnfYSPh4390lwHxQqFXv&#10;0Ej4NR62+fVVplLtzvhmTlVoGIWgT5WENoQh5dzXrbHKL9xgkG7fbrQqkBwbrkd1pnDb86UQK25V&#10;h/ShVYN5ak39Ux2thF3ZfH6NRfzyXL5WHU/KQ7EsDlLe3kyPD8CCmcK/GWZ8QoecmPbuiNqznnS0&#10;ichKQ5ysV8Bmi1hHMbD9vNuIe+B5xi9r5H8AAAD//wMAUEsBAi0AFAAGAAgAAAAhALaDOJL+AAAA&#10;4QEAABMAAAAAAAAAAAAAAAAAAAAAAFtDb250ZW50X1R5cGVzXS54bWxQSwECLQAUAAYACAAAACEA&#10;OP0h/9YAAACUAQAACwAAAAAAAAAAAAAAAAAvAQAAX3JlbHMvLnJlbHNQSwECLQAUAAYACAAAACEA&#10;ku1J/4ACAAD8BAAADgAAAAAAAAAAAAAAAAAuAgAAZHJzL2Uyb0RvYy54bWxQSwECLQAUAAYACAAA&#10;ACEAKOuPJeQAAAAOAQAADwAAAAAAAAAAAAAAAADaBAAAZHJzL2Rvd25yZXYueG1sUEsFBgAAAAAE&#10;AAQA8wAAAOsFA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8DE" w:rsidRDefault="00F618DE" w:rsidP="00E55534">
      <w:r>
        <w:separator/>
      </w:r>
    </w:p>
  </w:footnote>
  <w:footnote w:type="continuationSeparator" w:id="0">
    <w:p w:rsidR="00F618DE" w:rsidRDefault="00F618D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7B6" w:rsidRPr="002E765F" w:rsidRDefault="00CA37B6">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CA37B6" w:rsidRPr="00331FF5" w:rsidTr="00331FF5">
      <w:trPr>
        <w:trHeight w:hRule="exact" w:val="510"/>
      </w:trPr>
      <w:tc>
        <w:tcPr>
          <w:tcW w:w="3439" w:type="dxa"/>
        </w:tcPr>
        <w:p w:rsidR="00CA37B6" w:rsidRPr="00331FF5" w:rsidRDefault="00CA37B6" w:rsidP="00331FF5">
          <w:pPr>
            <w:pStyle w:val="Titel"/>
            <w:jc w:val="right"/>
            <w:rPr>
              <w:sz w:val="32"/>
              <w:szCs w:val="34"/>
            </w:rPr>
          </w:pPr>
          <w:r w:rsidRPr="00331FF5">
            <w:rPr>
              <w:sz w:val="32"/>
              <w:szCs w:val="34"/>
            </w:rPr>
            <w:t xml:space="preserve">PRESS </w:t>
          </w:r>
          <w:r w:rsidRPr="00331FF5">
            <w:rPr>
              <w:sz w:val="6"/>
              <w:szCs w:val="2"/>
            </w:rPr>
            <w:t xml:space="preserve"> </w:t>
          </w:r>
          <w:r w:rsidRPr="00331FF5">
            <w:rPr>
              <w:sz w:val="32"/>
              <w:szCs w:val="34"/>
            </w:rPr>
            <w:t>RELEASE</w:t>
          </w:r>
        </w:p>
      </w:tc>
    </w:tr>
  </w:tbl>
  <w:p w:rsidR="00CA37B6" w:rsidRPr="002E765F" w:rsidRDefault="00EF397D">
    <w:pPr>
      <w:pStyle w:val="Kopfzeile"/>
      <w:rPr>
        <w:sz w:val="14"/>
      </w:rPr>
    </w:pPr>
    <w:r>
      <w:rPr>
        <w:noProof/>
        <w:lang w:val="de-DE" w:eastAsia="de-DE"/>
      </w:rPr>
      <w:drawing>
        <wp:anchor distT="0" distB="0" distL="114300" distR="114300" simplePos="0" relativeHeight="251659264" behindDoc="0" locked="0" layoutInCell="1" allowOverlap="1" wp14:anchorId="340C449D" wp14:editId="55B10404">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14:anchorId="02F3E426" wp14:editId="61843F59">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DD7A26">
      <w:rPr>
        <w:noProof/>
        <w:lang w:val="de-DE" w:eastAsia="de-DE"/>
      </w:rPr>
      <mc:AlternateContent>
        <mc:Choice Requires="wps">
          <w:drawing>
            <wp:anchor distT="0" distB="0" distL="114300" distR="114300" simplePos="0" relativeHeight="251660288" behindDoc="0" locked="0" layoutInCell="1" allowOverlap="1" wp14:anchorId="297F265B" wp14:editId="0DEF468E">
              <wp:simplePos x="0" y="0"/>
              <wp:positionH relativeFrom="page">
                <wp:posOffset>756285</wp:posOffset>
              </wp:positionH>
              <wp:positionV relativeFrom="page">
                <wp:posOffset>702310</wp:posOffset>
              </wp:positionV>
              <wp:extent cx="6047740" cy="36195"/>
              <wp:effectExtent l="3810" t="0" r="0" b="4445"/>
              <wp:wrapNone/>
              <wp:docPr id="12"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29C438"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z8ygAIAAP4EAAAOAAAAZHJzL2Uyb0RvYy54bWysVNtuEzEQfUfiHyy/p3vp5rKrbqq2IQip&#10;QEXhAxzbm7XqtY3tZNMi/p2xNwkJ8IAQeXA8O+PjM3NmfHW96yTacuuEVjXOLlKMuKKaCbWu8ZfP&#10;y9EMI+eJYkRqxWv8zB2+nr9+ddWbiue61ZJxiwBEuao3NW69N1WSONryjrgLbbgCZ6NtRzyYdp0w&#10;S3pA72SSp+kk6bVlxmrKnYOvi8GJ5xG/aTj1H5vGcY9kjYGbj6uN6yqsyfyKVGtLTCvongb5BxYd&#10;EQouPUItiCdoY8VvUJ2gVjvd+Auqu0Q3jaA85gDZZOkv2Ty2xPCYCxTHmWOZ3P+DpR+2DxYJBtrl&#10;GCnSgUafOG09p08oy0J9euMqCHs0DzZk6My9pk8OKX3XErXmN9bqvuWEAasYn5wdCIaDo2jVv9cM&#10;0MnG61iqXWO7AAhFQLuoyPNREb7ziMLHSVpMpwUIR8F3OcnKcWCUkOpw2Fjn33LdobCpsQXBIzjZ&#10;3js/hB5CInktBVsKKaNh16s7adGWQHMU2fhyvNiju9MwqUKw0uHYgDh8AY5wR/AFtlHsb2WWF+lt&#10;Xo6Wk9l0VCyL8aicprNRmpW3JSRTFovl90AwK6pWMMbVvVD80HhZ8XfC7kdgaJnYeqivcT4u0jQm&#10;f0bfnWaZxt+fsuyEh0GUoqvx7BhEqiDsG8Ugb1J5IuSwT875R0WgCIf/WJbYBkH5oYNWmj1DF1gN&#10;KoGe8GTAptX2BaMexq/G7uuGWI6RfKegk8qsCLL7aBTjaQ6GPfWsTj1EUYCqMfUWo8G488OUb4wV&#10;6xbuymJplL6B/mtE7I3QmwMvYB4MGLKYw/5BCFN8aseon8/W/AcAAAD//wMAUEsDBBQABgAIAAAA&#10;IQBA+E5K4QAAAAwBAAAPAAAAZHJzL2Rvd25yZXYueG1sTI/BTsMwEETvSPyDtUjcqJ2ihhLiVAip&#10;SBFCSgMHuLnxkqTE68h22/D3OCe47eyOZt/km8kM7ITO95YkJAsBDKmxuqdWwvvb9mYNzAdFWg2W&#10;UMIPetgUlxe5yrQ90w5PdWhZDCGfKQldCGPGuW86NMov7IgUb1/WGRWidC3XTp1juBn4UoiUG9VT&#10;/NCpEZ86bL7ro5GwrdqPT1euXp6r17rn6+pQLsuDlNdX0+MDsIBT+DPDjB/RoYhMe3sk7dkQdXKf&#10;ROs8iBTY7BB3yQrYfl6lt8CLnP8vUfwCAAD//wMAUEsBAi0AFAAGAAgAAAAhALaDOJL+AAAA4QEA&#10;ABMAAAAAAAAAAAAAAAAAAAAAAFtDb250ZW50X1R5cGVzXS54bWxQSwECLQAUAAYACAAAACEAOP0h&#10;/9YAAACUAQAACwAAAAAAAAAAAAAAAAAvAQAAX3JlbHMvLnJlbHNQSwECLQAUAAYACAAAACEA1M8/&#10;MoACAAD+BAAADgAAAAAAAAAAAAAAAAAuAgAAZHJzL2Uyb0RvYy54bWxQSwECLQAUAAYACAAAACEA&#10;QPhOSuEAAAAMAQAADwAAAAAAAAAAAAAAAADaBAAAZHJzL2Rvd25yZXYueG1sUEsFBgAAAAAEAAQA&#10;8wAAAOgFA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7B6" w:rsidRDefault="00DD7A26">
    <w:pPr>
      <w:pStyle w:val="Kopfzeile"/>
    </w:pPr>
    <w:r>
      <w:rPr>
        <w:noProof/>
        <w:lang w:val="de-DE" w:eastAsia="de-DE"/>
      </w:rPr>
      <mc:AlternateContent>
        <mc:Choice Requires="wps">
          <w:drawing>
            <wp:anchor distT="0" distB="0" distL="114300" distR="114300" simplePos="0" relativeHeight="251656192" behindDoc="0" locked="0" layoutInCell="1" allowOverlap="1" wp14:anchorId="52A53655" wp14:editId="27223312">
              <wp:simplePos x="0" y="0"/>
              <wp:positionH relativeFrom="page">
                <wp:posOffset>756285</wp:posOffset>
              </wp:positionH>
              <wp:positionV relativeFrom="page">
                <wp:posOffset>935990</wp:posOffset>
              </wp:positionV>
              <wp:extent cx="6047740" cy="36195"/>
              <wp:effectExtent l="3810" t="2540" r="0" b="0"/>
              <wp:wrapNone/>
              <wp:docPr id="10"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2E0D02"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DcjgAIAAP0EAAAOAAAAZHJzL2Uyb0RvYy54bWysVG1v0zAQ/o7Ef7D8vUvSpS+Jlk5jpQhp&#10;wMTgB7i201hLbHN2mw7Ef+fstKUDPiBEP7i+3Pn8PHfP+ep637VkJ8EpoyuaXaSUSM2NUHpT0c+f&#10;VqM5Jc4zLVhrtKzok3T0evHyxVVvSzk2jWmFBIJJtCt7W9HGe1smieON7Ji7MFZqdNYGOubRhE0i&#10;gPWYvWuTcZpOk96AsGC4dA6/LgcnXcT8dS25/1DXTnrSVhSx+bhCXNdhTRZXrNwAs43iBxjsH1B0&#10;TGm89JRqyTwjW1C/peoUB+NM7S+46RJT14rLyAHZZOkvbB4aZmXkgsVx9lQm9//S8ve7eyBKYO+w&#10;PJp12KOPkjde8kcyCeXprSsx6sHeQyDo7J3hj45oc9swvZE3AKZvJBMIKgvxybMDwXB4lKz7d0Zg&#10;crb1JlZqX0MXEmINyD425OnUELn3hOPHaZrPZjkC4+i7nGZFRJSw8njYgvNvpOlI2FQUsN8xOdvd&#10;OR/AsPIYEsGbVomVattowGZ92wLZMdRGnk0uJ8uIHzmeh7U6BGsTjg0Zhy+IEe8IvoA29vpbkY3z&#10;9NW4GK2m89koX+WTUTFL56M0K14VSKbIl6vvAWCWl40SQuo7peVRd1n+d309TMCgmKg80ld0PMnT&#10;NJJ/Bt+ds0zj708sO+VxDlvVVXR+CmJlaOxrLZA3Kz1T7bBPnuOPZcYiHP9jWaIMQucHBa2NeEIV&#10;gMEuYT/xxcBNY+ArJT1OX0Xdly0DSUn7VqOSiiwPbffRyCezMRpw7lmfe5jmmKqi3AMlg3HrhyHf&#10;WlCbBu/KYmm0uUH91SpqI2hzwHVQLc5Y5HB4D8IQn9sx6uertfgB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BZQ&#10;NyOAAgAA/Q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sidR="00EF397D">
      <w:rPr>
        <w:noProof/>
        <w:lang w:val="de-DE" w:eastAsia="de-DE"/>
      </w:rPr>
      <w:drawing>
        <wp:anchor distT="0" distB="0" distL="114300" distR="114300" simplePos="0" relativeHeight="251655168" behindDoc="0" locked="0" layoutInCell="1" allowOverlap="1" wp14:anchorId="660E0B5C" wp14:editId="43D6AFC0">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EF397D">
      <w:rPr>
        <w:noProof/>
        <w:lang w:val="de-DE" w:eastAsia="de-DE"/>
      </w:rPr>
      <w:drawing>
        <wp:anchor distT="0" distB="0" distL="114300" distR="114300" simplePos="0" relativeHeight="251654144" behindDoc="0" locked="0" layoutInCell="1" allowOverlap="1" wp14:anchorId="1E211EBC" wp14:editId="77A4DECC">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499.25pt;height:1499.25pt" o:bullet="t">
        <v:imagedata r:id="rId1" o:title=""/>
      </v:shape>
    </w:pict>
  </w:numPicBullet>
  <w:numPicBullet w:numPicBulletId="1">
    <w:pict>
      <v:shape id="_x0000_i1050" type="#_x0000_t75" style="width:6.75pt;height:6.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449"/>
    <w:rsid w:val="0000540D"/>
    <w:rsid w:val="00032220"/>
    <w:rsid w:val="000336AD"/>
    <w:rsid w:val="00034B2D"/>
    <w:rsid w:val="00034E58"/>
    <w:rsid w:val="00042106"/>
    <w:rsid w:val="0005285B"/>
    <w:rsid w:val="000545AB"/>
    <w:rsid w:val="00066D09"/>
    <w:rsid w:val="00067E31"/>
    <w:rsid w:val="00086248"/>
    <w:rsid w:val="00087C94"/>
    <w:rsid w:val="00092A8B"/>
    <w:rsid w:val="0009665C"/>
    <w:rsid w:val="000A494F"/>
    <w:rsid w:val="000D1644"/>
    <w:rsid w:val="000D543F"/>
    <w:rsid w:val="0010106E"/>
    <w:rsid w:val="00103205"/>
    <w:rsid w:val="00110949"/>
    <w:rsid w:val="0011580A"/>
    <w:rsid w:val="0012026F"/>
    <w:rsid w:val="00132055"/>
    <w:rsid w:val="001341B1"/>
    <w:rsid w:val="001412E8"/>
    <w:rsid w:val="00152B19"/>
    <w:rsid w:val="00154327"/>
    <w:rsid w:val="00155EF3"/>
    <w:rsid w:val="001845E5"/>
    <w:rsid w:val="001863DA"/>
    <w:rsid w:val="0019175A"/>
    <w:rsid w:val="001B16BB"/>
    <w:rsid w:val="001B4713"/>
    <w:rsid w:val="001C018D"/>
    <w:rsid w:val="001C01AD"/>
    <w:rsid w:val="001C1659"/>
    <w:rsid w:val="00202CDD"/>
    <w:rsid w:val="00204906"/>
    <w:rsid w:val="00206FCC"/>
    <w:rsid w:val="00214927"/>
    <w:rsid w:val="0022445E"/>
    <w:rsid w:val="00230E52"/>
    <w:rsid w:val="002411A4"/>
    <w:rsid w:val="00243F72"/>
    <w:rsid w:val="00244981"/>
    <w:rsid w:val="00246B39"/>
    <w:rsid w:val="00253293"/>
    <w:rsid w:val="00253A2E"/>
    <w:rsid w:val="00264BDA"/>
    <w:rsid w:val="00270BB0"/>
    <w:rsid w:val="00280F72"/>
    <w:rsid w:val="00282009"/>
    <w:rsid w:val="002844EF"/>
    <w:rsid w:val="002852D6"/>
    <w:rsid w:val="00286872"/>
    <w:rsid w:val="0029634D"/>
    <w:rsid w:val="002A0DCB"/>
    <w:rsid w:val="002C6542"/>
    <w:rsid w:val="002D2491"/>
    <w:rsid w:val="002E3906"/>
    <w:rsid w:val="002E765F"/>
    <w:rsid w:val="002F097F"/>
    <w:rsid w:val="002F108B"/>
    <w:rsid w:val="002F179D"/>
    <w:rsid w:val="002F2B02"/>
    <w:rsid w:val="00307F16"/>
    <w:rsid w:val="00331FF5"/>
    <w:rsid w:val="00333F0F"/>
    <w:rsid w:val="00337F90"/>
    <w:rsid w:val="0034191A"/>
    <w:rsid w:val="00343CC7"/>
    <w:rsid w:val="0036094A"/>
    <w:rsid w:val="00367A43"/>
    <w:rsid w:val="00384A08"/>
    <w:rsid w:val="00390BC3"/>
    <w:rsid w:val="00395176"/>
    <w:rsid w:val="003963DC"/>
    <w:rsid w:val="003A0B3C"/>
    <w:rsid w:val="003A5E03"/>
    <w:rsid w:val="003A64C1"/>
    <w:rsid w:val="003A753A"/>
    <w:rsid w:val="003B54B5"/>
    <w:rsid w:val="003D0AEC"/>
    <w:rsid w:val="003E1CB6"/>
    <w:rsid w:val="003E3CF6"/>
    <w:rsid w:val="003E759F"/>
    <w:rsid w:val="00403373"/>
    <w:rsid w:val="00406C81"/>
    <w:rsid w:val="00412545"/>
    <w:rsid w:val="00420A38"/>
    <w:rsid w:val="00430BB0"/>
    <w:rsid w:val="0044319F"/>
    <w:rsid w:val="00444D86"/>
    <w:rsid w:val="00463D7D"/>
    <w:rsid w:val="00466276"/>
    <w:rsid w:val="004700D5"/>
    <w:rsid w:val="004743FD"/>
    <w:rsid w:val="00476F4D"/>
    <w:rsid w:val="00485739"/>
    <w:rsid w:val="00490E45"/>
    <w:rsid w:val="00492A7C"/>
    <w:rsid w:val="004A385E"/>
    <w:rsid w:val="004A4B65"/>
    <w:rsid w:val="004B198E"/>
    <w:rsid w:val="004C55AC"/>
    <w:rsid w:val="004D754F"/>
    <w:rsid w:val="004E1930"/>
    <w:rsid w:val="004F3F58"/>
    <w:rsid w:val="005007C2"/>
    <w:rsid w:val="00506409"/>
    <w:rsid w:val="00530E32"/>
    <w:rsid w:val="005707A7"/>
    <w:rsid w:val="0057104E"/>
    <w:rsid w:val="005711A3"/>
    <w:rsid w:val="00573B2B"/>
    <w:rsid w:val="00576832"/>
    <w:rsid w:val="00592634"/>
    <w:rsid w:val="00593927"/>
    <w:rsid w:val="005A1614"/>
    <w:rsid w:val="005A4F04"/>
    <w:rsid w:val="005B1903"/>
    <w:rsid w:val="005B27E9"/>
    <w:rsid w:val="005B32E3"/>
    <w:rsid w:val="005B3697"/>
    <w:rsid w:val="005B5793"/>
    <w:rsid w:val="005C2D8A"/>
    <w:rsid w:val="005C4CDB"/>
    <w:rsid w:val="005D14A6"/>
    <w:rsid w:val="005D4F54"/>
    <w:rsid w:val="005E1DED"/>
    <w:rsid w:val="005F5A79"/>
    <w:rsid w:val="006102E9"/>
    <w:rsid w:val="00612DB6"/>
    <w:rsid w:val="006150CD"/>
    <w:rsid w:val="00624EC1"/>
    <w:rsid w:val="006330A2"/>
    <w:rsid w:val="00633D89"/>
    <w:rsid w:val="00634372"/>
    <w:rsid w:val="00640A84"/>
    <w:rsid w:val="00642EB6"/>
    <w:rsid w:val="0064331D"/>
    <w:rsid w:val="006645E1"/>
    <w:rsid w:val="006878B3"/>
    <w:rsid w:val="006B73C9"/>
    <w:rsid w:val="006C4925"/>
    <w:rsid w:val="006E1DF4"/>
    <w:rsid w:val="006E23AC"/>
    <w:rsid w:val="006F6E64"/>
    <w:rsid w:val="006F7602"/>
    <w:rsid w:val="006F7B12"/>
    <w:rsid w:val="00716D95"/>
    <w:rsid w:val="00722A17"/>
    <w:rsid w:val="0073588F"/>
    <w:rsid w:val="00751129"/>
    <w:rsid w:val="00753629"/>
    <w:rsid w:val="00757B83"/>
    <w:rsid w:val="00772260"/>
    <w:rsid w:val="00781A75"/>
    <w:rsid w:val="00790CAE"/>
    <w:rsid w:val="00791A69"/>
    <w:rsid w:val="00793449"/>
    <w:rsid w:val="00794267"/>
    <w:rsid w:val="00794830"/>
    <w:rsid w:val="00797CAA"/>
    <w:rsid w:val="007A3B6D"/>
    <w:rsid w:val="007B3D23"/>
    <w:rsid w:val="007C2658"/>
    <w:rsid w:val="007C4C31"/>
    <w:rsid w:val="007D68EB"/>
    <w:rsid w:val="007D6F57"/>
    <w:rsid w:val="007E20D0"/>
    <w:rsid w:val="007E3670"/>
    <w:rsid w:val="007F238E"/>
    <w:rsid w:val="00820315"/>
    <w:rsid w:val="008231D4"/>
    <w:rsid w:val="008277F6"/>
    <w:rsid w:val="008341E7"/>
    <w:rsid w:val="00834983"/>
    <w:rsid w:val="008361D5"/>
    <w:rsid w:val="00836DEF"/>
    <w:rsid w:val="00841230"/>
    <w:rsid w:val="0084378C"/>
    <w:rsid w:val="00843A33"/>
    <w:rsid w:val="00843B45"/>
    <w:rsid w:val="00851A2E"/>
    <w:rsid w:val="00857394"/>
    <w:rsid w:val="00863129"/>
    <w:rsid w:val="0086388D"/>
    <w:rsid w:val="00871679"/>
    <w:rsid w:val="008730DA"/>
    <w:rsid w:val="00881244"/>
    <w:rsid w:val="00887577"/>
    <w:rsid w:val="00887CD4"/>
    <w:rsid w:val="008A4F00"/>
    <w:rsid w:val="008A5307"/>
    <w:rsid w:val="008B4045"/>
    <w:rsid w:val="008B4741"/>
    <w:rsid w:val="008B518F"/>
    <w:rsid w:val="008C04A7"/>
    <w:rsid w:val="008C2DB2"/>
    <w:rsid w:val="008C6C28"/>
    <w:rsid w:val="008D4AE7"/>
    <w:rsid w:val="008D4CB6"/>
    <w:rsid w:val="008D71E9"/>
    <w:rsid w:val="008D73C2"/>
    <w:rsid w:val="008D770E"/>
    <w:rsid w:val="008E71F3"/>
    <w:rsid w:val="0090011B"/>
    <w:rsid w:val="0090337E"/>
    <w:rsid w:val="00904F7F"/>
    <w:rsid w:val="00905C61"/>
    <w:rsid w:val="00923158"/>
    <w:rsid w:val="00930AF9"/>
    <w:rsid w:val="00956922"/>
    <w:rsid w:val="009630EF"/>
    <w:rsid w:val="009A26CC"/>
    <w:rsid w:val="009A68A7"/>
    <w:rsid w:val="009A7C8E"/>
    <w:rsid w:val="009C2378"/>
    <w:rsid w:val="009D016F"/>
    <w:rsid w:val="009D0E4F"/>
    <w:rsid w:val="009D5491"/>
    <w:rsid w:val="009D5CF0"/>
    <w:rsid w:val="009E251D"/>
    <w:rsid w:val="00A01F53"/>
    <w:rsid w:val="00A15E3A"/>
    <w:rsid w:val="00A171F4"/>
    <w:rsid w:val="00A2033C"/>
    <w:rsid w:val="00A23A6C"/>
    <w:rsid w:val="00A24EFC"/>
    <w:rsid w:val="00A33D9B"/>
    <w:rsid w:val="00A649E6"/>
    <w:rsid w:val="00A8217E"/>
    <w:rsid w:val="00A9025C"/>
    <w:rsid w:val="00A977CE"/>
    <w:rsid w:val="00AA328B"/>
    <w:rsid w:val="00AD131F"/>
    <w:rsid w:val="00AE5ED0"/>
    <w:rsid w:val="00AF3B3A"/>
    <w:rsid w:val="00AF6569"/>
    <w:rsid w:val="00B06265"/>
    <w:rsid w:val="00B11C23"/>
    <w:rsid w:val="00B15B4C"/>
    <w:rsid w:val="00B17BF2"/>
    <w:rsid w:val="00B3486C"/>
    <w:rsid w:val="00B35498"/>
    <w:rsid w:val="00B4117B"/>
    <w:rsid w:val="00B47025"/>
    <w:rsid w:val="00B5695F"/>
    <w:rsid w:val="00B672FE"/>
    <w:rsid w:val="00B678BE"/>
    <w:rsid w:val="00B704A5"/>
    <w:rsid w:val="00B8161C"/>
    <w:rsid w:val="00B90F78"/>
    <w:rsid w:val="00B91BA1"/>
    <w:rsid w:val="00B9327C"/>
    <w:rsid w:val="00B978F9"/>
    <w:rsid w:val="00BA6568"/>
    <w:rsid w:val="00BA7235"/>
    <w:rsid w:val="00BC0992"/>
    <w:rsid w:val="00BC2049"/>
    <w:rsid w:val="00BC510C"/>
    <w:rsid w:val="00BC5AFB"/>
    <w:rsid w:val="00BD1058"/>
    <w:rsid w:val="00BD2833"/>
    <w:rsid w:val="00BD3C45"/>
    <w:rsid w:val="00BD6C1D"/>
    <w:rsid w:val="00BD7FE3"/>
    <w:rsid w:val="00BE552D"/>
    <w:rsid w:val="00BF56B2"/>
    <w:rsid w:val="00BF66A0"/>
    <w:rsid w:val="00BF6B56"/>
    <w:rsid w:val="00C03396"/>
    <w:rsid w:val="00C22CA4"/>
    <w:rsid w:val="00C37026"/>
    <w:rsid w:val="00C457C3"/>
    <w:rsid w:val="00C63436"/>
    <w:rsid w:val="00C644CA"/>
    <w:rsid w:val="00C73005"/>
    <w:rsid w:val="00C73FB4"/>
    <w:rsid w:val="00C749E9"/>
    <w:rsid w:val="00C808BB"/>
    <w:rsid w:val="00C84803"/>
    <w:rsid w:val="00C85225"/>
    <w:rsid w:val="00C94A50"/>
    <w:rsid w:val="00C97088"/>
    <w:rsid w:val="00CA37B6"/>
    <w:rsid w:val="00CB37D7"/>
    <w:rsid w:val="00CD38CB"/>
    <w:rsid w:val="00CD38E8"/>
    <w:rsid w:val="00CE37E6"/>
    <w:rsid w:val="00CF1493"/>
    <w:rsid w:val="00CF36C9"/>
    <w:rsid w:val="00D13FDC"/>
    <w:rsid w:val="00D166AC"/>
    <w:rsid w:val="00D46AF7"/>
    <w:rsid w:val="00D74DB6"/>
    <w:rsid w:val="00D93339"/>
    <w:rsid w:val="00DA0D1C"/>
    <w:rsid w:val="00DA6481"/>
    <w:rsid w:val="00DA774E"/>
    <w:rsid w:val="00DB5670"/>
    <w:rsid w:val="00DC66C2"/>
    <w:rsid w:val="00DD7A26"/>
    <w:rsid w:val="00E14608"/>
    <w:rsid w:val="00E21E67"/>
    <w:rsid w:val="00E24AB0"/>
    <w:rsid w:val="00E25E26"/>
    <w:rsid w:val="00E3026D"/>
    <w:rsid w:val="00E30EBF"/>
    <w:rsid w:val="00E377F5"/>
    <w:rsid w:val="00E41492"/>
    <w:rsid w:val="00E432B6"/>
    <w:rsid w:val="00E43F2D"/>
    <w:rsid w:val="00E45A0F"/>
    <w:rsid w:val="00E52D70"/>
    <w:rsid w:val="00E55534"/>
    <w:rsid w:val="00E604DD"/>
    <w:rsid w:val="00E66DDA"/>
    <w:rsid w:val="00E724CD"/>
    <w:rsid w:val="00E73983"/>
    <w:rsid w:val="00E73B89"/>
    <w:rsid w:val="00E76714"/>
    <w:rsid w:val="00E827AF"/>
    <w:rsid w:val="00E914D1"/>
    <w:rsid w:val="00E966BC"/>
    <w:rsid w:val="00EC5F89"/>
    <w:rsid w:val="00ED79D7"/>
    <w:rsid w:val="00EE25E5"/>
    <w:rsid w:val="00EE56C4"/>
    <w:rsid w:val="00EF397D"/>
    <w:rsid w:val="00EF7018"/>
    <w:rsid w:val="00F14858"/>
    <w:rsid w:val="00F20920"/>
    <w:rsid w:val="00F22645"/>
    <w:rsid w:val="00F3397C"/>
    <w:rsid w:val="00F36EA4"/>
    <w:rsid w:val="00F43DE0"/>
    <w:rsid w:val="00F4431C"/>
    <w:rsid w:val="00F55631"/>
    <w:rsid w:val="00F56318"/>
    <w:rsid w:val="00F6022B"/>
    <w:rsid w:val="00F618DE"/>
    <w:rsid w:val="00F67795"/>
    <w:rsid w:val="00F76B4C"/>
    <w:rsid w:val="00F81EBA"/>
    <w:rsid w:val="00F82525"/>
    <w:rsid w:val="00F84716"/>
    <w:rsid w:val="00F8570A"/>
    <w:rsid w:val="00F97FEA"/>
    <w:rsid w:val="00FA06B5"/>
    <w:rsid w:val="00FC0CD3"/>
    <w:rsid w:val="00FD0296"/>
    <w:rsid w:val="00FD3B89"/>
    <w:rsid w:val="00FD4E63"/>
    <w:rsid w:val="00FE5469"/>
    <w:rsid w:val="00FE6D4F"/>
    <w:rsid w:val="00FF49C5"/>
    <w:rsid w:val="00FF52AE"/>
    <w:rsid w:val="00FF7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56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64331D"/>
    <w:rPr>
      <w:rFonts w:cs="Times New Roman"/>
      <w:sz w:val="16"/>
      <w:szCs w:val="16"/>
    </w:rPr>
  </w:style>
  <w:style w:type="paragraph" w:styleId="Kommentartext">
    <w:name w:val="annotation text"/>
    <w:basedOn w:val="Standard"/>
    <w:link w:val="KommentartextZchn"/>
    <w:uiPriority w:val="99"/>
    <w:semiHidden/>
    <w:rsid w:val="0064331D"/>
    <w:rPr>
      <w:sz w:val="20"/>
      <w:szCs w:val="20"/>
    </w:rPr>
  </w:style>
  <w:style w:type="character" w:customStyle="1" w:styleId="KommentartextZchn">
    <w:name w:val="Kommentartext Zchn"/>
    <w:basedOn w:val="Absatz-Standardschriftart"/>
    <w:link w:val="Kommentartext"/>
    <w:uiPriority w:val="99"/>
    <w:semiHidden/>
    <w:locked/>
    <w:rsid w:val="001412E8"/>
    <w:rPr>
      <w:rFonts w:cs="Times New Roman"/>
      <w:sz w:val="20"/>
      <w:szCs w:val="20"/>
      <w:lang w:val="fr-FR" w:eastAsia="en-US"/>
    </w:rPr>
  </w:style>
  <w:style w:type="paragraph" w:styleId="Kommentarthema">
    <w:name w:val="annotation subject"/>
    <w:basedOn w:val="Kommentartext"/>
    <w:next w:val="Kommentartext"/>
    <w:link w:val="KommentarthemaZchn"/>
    <w:uiPriority w:val="99"/>
    <w:semiHidden/>
    <w:rsid w:val="0064331D"/>
    <w:rPr>
      <w:b/>
      <w:bCs/>
    </w:rPr>
  </w:style>
  <w:style w:type="character" w:customStyle="1" w:styleId="KommentarthemaZchn">
    <w:name w:val="Kommentarthema Zchn"/>
    <w:basedOn w:val="KommentartextZchn"/>
    <w:link w:val="Kommentarthema"/>
    <w:uiPriority w:val="99"/>
    <w:semiHidden/>
    <w:locked/>
    <w:rsid w:val="001412E8"/>
    <w:rPr>
      <w:rFonts w:cs="Times New Roman"/>
      <w:b/>
      <w:bCs/>
      <w:sz w:val="20"/>
      <w:szCs w:val="20"/>
      <w:lang w:val="fr-FR" w:eastAsia="en-US"/>
    </w:rPr>
  </w:style>
  <w:style w:type="numbering" w:customStyle="1" w:styleId="zzzBulletpoints">
    <w:name w:val="zzz_Bulletpoints"/>
    <w:rsid w:val="00642E2F"/>
    <w:pPr>
      <w:numPr>
        <w:numId w:val="22"/>
      </w:numPr>
    </w:pPr>
  </w:style>
  <w:style w:type="numbering" w:customStyle="1" w:styleId="zzzThemen">
    <w:name w:val="zzz_Themen"/>
    <w:rsid w:val="00642E2F"/>
    <w:pPr>
      <w:numPr>
        <w:numId w:val="18"/>
      </w:numPr>
    </w:pPr>
  </w:style>
  <w:style w:type="numbering" w:customStyle="1" w:styleId="zzzNummerierung">
    <w:name w:val="zzz_Nummerierung"/>
    <w:rsid w:val="00642E2F"/>
    <w:pPr>
      <w:numPr>
        <w:numId w:val="24"/>
      </w:numPr>
    </w:pPr>
  </w:style>
  <w:style w:type="numbering" w:customStyle="1" w:styleId="zzzHeadlines">
    <w:name w:val="zzz_Headlines"/>
    <w:rsid w:val="00642E2F"/>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64331D"/>
    <w:rPr>
      <w:rFonts w:cs="Times New Roman"/>
      <w:sz w:val="16"/>
      <w:szCs w:val="16"/>
    </w:rPr>
  </w:style>
  <w:style w:type="paragraph" w:styleId="Kommentartext">
    <w:name w:val="annotation text"/>
    <w:basedOn w:val="Standard"/>
    <w:link w:val="KommentartextZchn"/>
    <w:uiPriority w:val="99"/>
    <w:semiHidden/>
    <w:rsid w:val="0064331D"/>
    <w:rPr>
      <w:sz w:val="20"/>
      <w:szCs w:val="20"/>
    </w:rPr>
  </w:style>
  <w:style w:type="character" w:customStyle="1" w:styleId="KommentartextZchn">
    <w:name w:val="Kommentartext Zchn"/>
    <w:basedOn w:val="Absatz-Standardschriftart"/>
    <w:link w:val="Kommentartext"/>
    <w:uiPriority w:val="99"/>
    <w:semiHidden/>
    <w:locked/>
    <w:rsid w:val="001412E8"/>
    <w:rPr>
      <w:rFonts w:cs="Times New Roman"/>
      <w:sz w:val="20"/>
      <w:szCs w:val="20"/>
      <w:lang w:val="fr-FR" w:eastAsia="en-US"/>
    </w:rPr>
  </w:style>
  <w:style w:type="paragraph" w:styleId="Kommentarthema">
    <w:name w:val="annotation subject"/>
    <w:basedOn w:val="Kommentartext"/>
    <w:next w:val="Kommentartext"/>
    <w:link w:val="KommentarthemaZchn"/>
    <w:uiPriority w:val="99"/>
    <w:semiHidden/>
    <w:rsid w:val="0064331D"/>
    <w:rPr>
      <w:b/>
      <w:bCs/>
    </w:rPr>
  </w:style>
  <w:style w:type="character" w:customStyle="1" w:styleId="KommentarthemaZchn">
    <w:name w:val="Kommentarthema Zchn"/>
    <w:basedOn w:val="KommentartextZchn"/>
    <w:link w:val="Kommentarthema"/>
    <w:uiPriority w:val="99"/>
    <w:semiHidden/>
    <w:locked/>
    <w:rsid w:val="001412E8"/>
    <w:rPr>
      <w:rFonts w:cs="Times New Roman"/>
      <w:b/>
      <w:bCs/>
      <w:sz w:val="20"/>
      <w:szCs w:val="20"/>
      <w:lang w:val="fr-FR" w:eastAsia="en-US"/>
    </w:rPr>
  </w:style>
  <w:style w:type="numbering" w:customStyle="1" w:styleId="zzzBulletpoints">
    <w:name w:val="zzz_Bulletpoints"/>
    <w:rsid w:val="00642E2F"/>
    <w:pPr>
      <w:numPr>
        <w:numId w:val="22"/>
      </w:numPr>
    </w:pPr>
  </w:style>
  <w:style w:type="numbering" w:customStyle="1" w:styleId="zzzThemen">
    <w:name w:val="zzz_Themen"/>
    <w:rsid w:val="00642E2F"/>
    <w:pPr>
      <w:numPr>
        <w:numId w:val="18"/>
      </w:numPr>
    </w:pPr>
  </w:style>
  <w:style w:type="numbering" w:customStyle="1" w:styleId="zzzNummerierung">
    <w:name w:val="zzz_Nummerierung"/>
    <w:rsid w:val="00642E2F"/>
    <w:pPr>
      <w:numPr>
        <w:numId w:val="24"/>
      </w:numPr>
    </w:pPr>
  </w:style>
  <w:style w:type="numbering" w:customStyle="1" w:styleId="zzzHeadlines">
    <w:name w:val="zzz_Headlines"/>
    <w:rsid w:val="00642E2F"/>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1427</Words>
  <Characters>7483</Characters>
  <Application>Microsoft Office Word</Application>
  <DocSecurity>0</DocSecurity>
  <Lines>62</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Pose de béton dans le sud-ouest du Nigeria avec la machine à coffrage glissant WIRTGEN SP 500</vt:lpstr>
      <vt:lpstr>Pose de béton dans le sud-ouest du Nigeria avec la machine à coffrage glissant WIRTGEN SP 500</vt:lpstr>
    </vt:vector>
  </TitlesOfParts>
  <Company>Wirtgen GmbH</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Pose de béton dans le sud-ouest du Nigeria avec la machine à coffrage glissant WIRTGEN SP 500</dc:title>
  <dc:creator>Erner Michael</dc:creator>
  <cp:lastModifiedBy>Schüler Angelika</cp:lastModifiedBy>
  <cp:revision>16</cp:revision>
  <cp:lastPrinted>2016-07-13T07:28:00Z</cp:lastPrinted>
  <dcterms:created xsi:type="dcterms:W3CDTF">2017-08-28T13:07:00Z</dcterms:created>
  <dcterms:modified xsi:type="dcterms:W3CDTF">2017-09-07T08:40:00Z</dcterms:modified>
</cp:coreProperties>
</file>